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F683" w14:textId="77777777" w:rsidR="009F4952" w:rsidRDefault="001C52C9" w:rsidP="0080571C">
      <w:pPr>
        <w:pStyle w:val="Title"/>
      </w:pPr>
      <w:r w:rsidRPr="001C52C9">
        <w:t>Self-</w:t>
      </w:r>
      <w:r w:rsidR="00BC61F3" w:rsidRPr="00BC61F3">
        <w:t>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5926"/>
      </w:tblGrid>
      <w:tr w:rsidR="001C52C9" w14:paraId="6F0F7DCE" w14:textId="77777777" w:rsidTr="0080571C">
        <w:tc>
          <w:tcPr>
            <w:tcW w:w="1785" w:type="pct"/>
          </w:tcPr>
          <w:p w14:paraId="1CA1C26E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Self-Assessment Title</w:t>
            </w:r>
          </w:p>
        </w:tc>
        <w:tc>
          <w:tcPr>
            <w:tcW w:w="3215" w:type="pct"/>
          </w:tcPr>
          <w:p w14:paraId="04ACAA57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Self-Assessment 5.1</w:t>
            </w:r>
          </w:p>
        </w:tc>
      </w:tr>
      <w:tr w:rsidR="001C52C9" w14:paraId="1F03AB70" w14:textId="77777777" w:rsidTr="0080571C">
        <w:tc>
          <w:tcPr>
            <w:tcW w:w="1785" w:type="pct"/>
          </w:tcPr>
          <w:p w14:paraId="405A3C80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Descriptive Title</w:t>
            </w:r>
          </w:p>
        </w:tc>
        <w:tc>
          <w:tcPr>
            <w:tcW w:w="3215" w:type="pct"/>
          </w:tcPr>
          <w:p w14:paraId="60CFCD4B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What Do You Know About Nonverbal Messaging?</w:t>
            </w:r>
          </w:p>
        </w:tc>
      </w:tr>
      <w:tr w:rsidR="001C52C9" w14:paraId="37C09631" w14:textId="77777777" w:rsidTr="0080571C">
        <w:tc>
          <w:tcPr>
            <w:tcW w:w="1785" w:type="pct"/>
          </w:tcPr>
          <w:p w14:paraId="6AD49E75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Short Title</w:t>
            </w:r>
          </w:p>
        </w:tc>
        <w:tc>
          <w:tcPr>
            <w:tcW w:w="3215" w:type="pct"/>
          </w:tcPr>
          <w:p w14:paraId="79CFE63C" w14:textId="77777777" w:rsidR="009F4952" w:rsidRDefault="001C52C9" w:rsidP="0080571C">
            <w:pPr>
              <w:rPr>
                <w:rFonts w:eastAsia="Times New Roman" w:cs="Times New Roman"/>
              </w:rPr>
            </w:pPr>
            <w:r w:rsidRPr="00335AEB">
              <w:t xml:space="preserve">SA </w:t>
            </w:r>
            <w:r>
              <w:t>5.1</w:t>
            </w:r>
          </w:p>
        </w:tc>
      </w:tr>
      <w:tr w:rsidR="001C52C9" w14:paraId="7411B825" w14:textId="77777777" w:rsidTr="0080571C">
        <w:trPr>
          <w:trHeight w:val="2326"/>
        </w:trPr>
        <w:tc>
          <w:tcPr>
            <w:tcW w:w="1785" w:type="pct"/>
          </w:tcPr>
          <w:p w14:paraId="724E9C28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Activity Introduction and Description</w:t>
            </w:r>
          </w:p>
          <w:p w14:paraId="4CC999E0" w14:textId="6961E117" w:rsidR="009F4952" w:rsidRDefault="001C52C9" w:rsidP="0080571C">
            <w:pPr>
              <w:rPr>
                <w:rFonts w:eastAsia="Times New Roman" w:cs="Times New Roman"/>
              </w:rPr>
            </w:pPr>
            <w:r>
              <w:t xml:space="preserve">This activity is adapted from the Test of Nonverbal Cue Knowledge developed by Janella </w:t>
            </w:r>
            <w:proofErr w:type="spellStart"/>
            <w:r>
              <w:t>Rosip</w:t>
            </w:r>
            <w:proofErr w:type="spellEnd"/>
            <w:r>
              <w:t xml:space="preserve"> and Judith Hall which was predictive of competence at reading nonverbal cues.</w:t>
            </w:r>
            <w:r>
              <w:rPr>
                <w:rStyle w:val="EndnoteReference"/>
                <w:bCs/>
              </w:rPr>
              <w:endnoteReference w:id="1"/>
            </w:r>
          </w:p>
        </w:tc>
        <w:tc>
          <w:tcPr>
            <w:tcW w:w="3215" w:type="pct"/>
          </w:tcPr>
          <w:p w14:paraId="6D20FD37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Purpose</w:t>
            </w:r>
          </w:p>
          <w:p w14:paraId="259F14D4" w14:textId="414C4C74" w:rsidR="009F4952" w:rsidRDefault="007E62F9" w:rsidP="0080571C">
            <w:pPr>
              <w:ind w:left="720" w:hanging="360"/>
              <w:rPr>
                <w:rFonts w:eastAsia="Times New Roman" w:cs="Times New Roman"/>
              </w:rPr>
            </w:pPr>
            <w:r w:rsidRPr="001C52C9">
              <w:rPr>
                <w:szCs w:val="22"/>
              </w:rPr>
              <w:t>1.</w:t>
            </w:r>
            <w:r w:rsidR="0010172F">
              <w:rPr>
                <w:szCs w:val="22"/>
              </w:rPr>
              <w:t xml:space="preserve"> </w:t>
            </w:r>
            <w:r w:rsidR="001C52C9" w:rsidRPr="007E62F9">
              <w:t>To identify your ability to read nonverbal cues.</w:t>
            </w:r>
          </w:p>
          <w:p w14:paraId="62EEC794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rFonts w:eastAsia="Times New Roman"/>
                <w:b/>
              </w:rPr>
              <w:t>Directions</w:t>
            </w:r>
          </w:p>
          <w:p w14:paraId="1D26C9A0" w14:textId="513C4D0A" w:rsidR="009F4952" w:rsidRDefault="0010172F" w:rsidP="0080571C">
            <w:pPr>
              <w:pStyle w:val="EndnoteText"/>
              <w:spacing w:after="120"/>
              <w:ind w:left="720" w:hanging="360"/>
              <w:rPr>
                <w:rFonts w:cs="Times New Roman"/>
              </w:rPr>
            </w:pPr>
            <w:r>
              <w:t xml:space="preserve">1. </w:t>
            </w:r>
            <w:r w:rsidR="00BC61F3" w:rsidRPr="00BC61F3">
              <w:t xml:space="preserve">For </w:t>
            </w:r>
            <w:r w:rsidR="00BC61F3" w:rsidRPr="0080571C">
              <w:rPr>
                <w:rFonts w:eastAsia="Calibri"/>
                <w:szCs w:val="22"/>
              </w:rPr>
              <w:t>each of the following statements, indicate whether you think the answer is True or False</w:t>
            </w:r>
            <w:r w:rsidR="00BC61F3" w:rsidRPr="0080571C">
              <w:rPr>
                <w:szCs w:val="22"/>
              </w:rPr>
              <w:t>.</w:t>
            </w:r>
          </w:p>
        </w:tc>
      </w:tr>
    </w:tbl>
    <w:p w14:paraId="66D2460C" w14:textId="77777777" w:rsidR="009F4952" w:rsidRDefault="009F4952" w:rsidP="0080571C"/>
    <w:p w14:paraId="2BD615B3" w14:textId="542F35ED" w:rsidR="009F4952" w:rsidRDefault="001C52C9" w:rsidP="0080571C">
      <w:r>
        <w:t>Before, taking the quiz, predict the grade (from 0</w:t>
      </w:r>
      <w:r w:rsidR="00697CCF">
        <w:t xml:space="preserve"> to </w:t>
      </w:r>
      <w:r>
        <w:t>100) you will receive on it. 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2"/>
        <w:gridCol w:w="3071"/>
        <w:gridCol w:w="3073"/>
      </w:tblGrid>
      <w:tr w:rsidR="001C52C9" w14:paraId="78AC24B6" w14:textId="77777777" w:rsidTr="0080571C">
        <w:tc>
          <w:tcPr>
            <w:tcW w:w="1666" w:type="pct"/>
          </w:tcPr>
          <w:p w14:paraId="4F0B379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STATEMENT</w:t>
            </w:r>
          </w:p>
        </w:tc>
        <w:tc>
          <w:tcPr>
            <w:tcW w:w="1666" w:type="pct"/>
          </w:tcPr>
          <w:p w14:paraId="7C6155BA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I THINK THIS STATEMENT IS TRUE</w:t>
            </w:r>
          </w:p>
        </w:tc>
        <w:tc>
          <w:tcPr>
            <w:tcW w:w="1667" w:type="pct"/>
          </w:tcPr>
          <w:p w14:paraId="3D22BCA7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I THINK THIS STATEMENT IS FALSE</w:t>
            </w:r>
          </w:p>
        </w:tc>
      </w:tr>
      <w:tr w:rsidR="001C52C9" w14:paraId="2076EFD2" w14:textId="77777777" w:rsidTr="0080571C">
        <w:tc>
          <w:tcPr>
            <w:tcW w:w="1666" w:type="pct"/>
          </w:tcPr>
          <w:p w14:paraId="7F095658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1.</w:t>
            </w:r>
          </w:p>
          <w:p w14:paraId="247AD4DF" w14:textId="32349F50" w:rsidR="009F4952" w:rsidRDefault="001C52C9" w:rsidP="0080571C">
            <w:pPr>
              <w:rPr>
                <w:rFonts w:eastAsia="Times New Roman" w:cs="Times New Roman"/>
              </w:rPr>
            </w:pPr>
            <w:r>
              <w:t>Widening your eyelids when speaking emphasizes your words.</w:t>
            </w:r>
          </w:p>
        </w:tc>
        <w:tc>
          <w:tcPr>
            <w:tcW w:w="1666" w:type="pct"/>
          </w:tcPr>
          <w:p w14:paraId="1745281C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53207D62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59583DE4" w14:textId="77777777" w:rsidTr="0080571C">
        <w:tc>
          <w:tcPr>
            <w:tcW w:w="1666" w:type="pct"/>
          </w:tcPr>
          <w:p w14:paraId="0DDB0F41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2.</w:t>
            </w:r>
          </w:p>
          <w:p w14:paraId="27E4DA6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 xml:space="preserve">With a high degree of accuracy most of us are able to recognize a speaker’s </w:t>
            </w:r>
            <w:r>
              <w:lastRenderedPageBreak/>
              <w:t>identity without seeing them because every voice is unique.</w:t>
            </w:r>
          </w:p>
        </w:tc>
        <w:tc>
          <w:tcPr>
            <w:tcW w:w="1666" w:type="pct"/>
          </w:tcPr>
          <w:p w14:paraId="119C48B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339E420A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73A0D2F7" w14:textId="77777777" w:rsidTr="0080571C">
        <w:tc>
          <w:tcPr>
            <w:tcW w:w="1666" w:type="pct"/>
          </w:tcPr>
          <w:p w14:paraId="294B3FE0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3.</w:t>
            </w:r>
          </w:p>
          <w:p w14:paraId="46DE4B5E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We are likely to keep greater interaction distance with someone with whom we are unfamiliar than with someone whom we know.</w:t>
            </w:r>
          </w:p>
        </w:tc>
        <w:tc>
          <w:tcPr>
            <w:tcW w:w="1666" w:type="pct"/>
          </w:tcPr>
          <w:p w14:paraId="58FE2A91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29B3D93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3FBFFACA" w14:textId="77777777" w:rsidTr="0080571C">
        <w:tc>
          <w:tcPr>
            <w:tcW w:w="1666" w:type="pct"/>
          </w:tcPr>
          <w:p w14:paraId="7BCA5293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4.</w:t>
            </w:r>
          </w:p>
          <w:p w14:paraId="1BCED38E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The size of one’s pupils influences interpersonal attraction.</w:t>
            </w:r>
          </w:p>
        </w:tc>
        <w:tc>
          <w:tcPr>
            <w:tcW w:w="1666" w:type="pct"/>
          </w:tcPr>
          <w:p w14:paraId="6896B5B1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78C52F99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5AFA39F0" w14:textId="77777777" w:rsidTr="0080571C">
        <w:tc>
          <w:tcPr>
            <w:tcW w:w="1666" w:type="pct"/>
          </w:tcPr>
          <w:p w14:paraId="4304FB1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5.</w:t>
            </w:r>
          </w:p>
          <w:p w14:paraId="3122584F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Nodding your head rapidly signals the desire for the speaker to finish quickly.</w:t>
            </w:r>
          </w:p>
        </w:tc>
        <w:tc>
          <w:tcPr>
            <w:tcW w:w="1666" w:type="pct"/>
          </w:tcPr>
          <w:p w14:paraId="0DA2A133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330ED47B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4D4A6443" w14:textId="77777777" w:rsidTr="0080571C">
        <w:tc>
          <w:tcPr>
            <w:tcW w:w="1666" w:type="pct"/>
          </w:tcPr>
          <w:p w14:paraId="4C8DA26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6.</w:t>
            </w:r>
          </w:p>
          <w:p w14:paraId="709CFB33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We touch ourselves more when telling the truth than we do when lying.</w:t>
            </w:r>
          </w:p>
        </w:tc>
        <w:tc>
          <w:tcPr>
            <w:tcW w:w="1666" w:type="pct"/>
          </w:tcPr>
          <w:p w14:paraId="515DB7EE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13660E9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03C1A647" w14:textId="77777777" w:rsidTr="0080571C">
        <w:tc>
          <w:tcPr>
            <w:tcW w:w="1666" w:type="pct"/>
          </w:tcPr>
          <w:p w14:paraId="39F53B07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7.</w:t>
            </w:r>
          </w:p>
          <w:p w14:paraId="0FE64979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Blinking suggests physiological arousal.</w:t>
            </w:r>
          </w:p>
        </w:tc>
        <w:tc>
          <w:tcPr>
            <w:tcW w:w="1666" w:type="pct"/>
          </w:tcPr>
          <w:p w14:paraId="109D56D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7F192C33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37F14492" w14:textId="77777777" w:rsidTr="0080571C">
        <w:tc>
          <w:tcPr>
            <w:tcW w:w="1666" w:type="pct"/>
          </w:tcPr>
          <w:p w14:paraId="3714AE1C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8.</w:t>
            </w:r>
          </w:p>
          <w:p w14:paraId="2F684A7B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 xml:space="preserve">Men, more than women, pay attention to nonverbal cues </w:t>
            </w:r>
            <w:r>
              <w:lastRenderedPageBreak/>
              <w:t>they can see when compared with those conveyed by the voice.</w:t>
            </w:r>
          </w:p>
        </w:tc>
        <w:tc>
          <w:tcPr>
            <w:tcW w:w="1666" w:type="pct"/>
          </w:tcPr>
          <w:p w14:paraId="4EFE1026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03BE55E1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475B3F77" w14:textId="77777777" w:rsidTr="0080571C">
        <w:tc>
          <w:tcPr>
            <w:tcW w:w="1666" w:type="pct"/>
          </w:tcPr>
          <w:p w14:paraId="3DE078D8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9.</w:t>
            </w:r>
          </w:p>
          <w:p w14:paraId="6788CE35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Where you sit in class does not influence your participation.</w:t>
            </w:r>
          </w:p>
        </w:tc>
        <w:tc>
          <w:tcPr>
            <w:tcW w:w="1666" w:type="pct"/>
          </w:tcPr>
          <w:p w14:paraId="065BBBFF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0847D8F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4D264BC5" w14:textId="77777777" w:rsidTr="0080571C">
        <w:tc>
          <w:tcPr>
            <w:tcW w:w="1666" w:type="pct"/>
          </w:tcPr>
          <w:p w14:paraId="129E99D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10.</w:t>
            </w:r>
          </w:p>
          <w:p w14:paraId="698180C2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Most observers can tell whether another person’s facial expressions are genuine or forced.</w:t>
            </w:r>
          </w:p>
        </w:tc>
        <w:tc>
          <w:tcPr>
            <w:tcW w:w="1666" w:type="pct"/>
          </w:tcPr>
          <w:p w14:paraId="28358BA3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293ABB0B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53D768E8" w14:textId="77777777" w:rsidTr="0080571C">
        <w:tc>
          <w:tcPr>
            <w:tcW w:w="1666" w:type="pct"/>
          </w:tcPr>
          <w:p w14:paraId="513595F0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11.</w:t>
            </w:r>
          </w:p>
          <w:p w14:paraId="0FC5FC12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When we become socially anxious, we tend to gaze more at the other person during interaction.</w:t>
            </w:r>
          </w:p>
        </w:tc>
        <w:tc>
          <w:tcPr>
            <w:tcW w:w="1666" w:type="pct"/>
          </w:tcPr>
          <w:p w14:paraId="3963F6E3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4B032CB8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1BCD42BE" w14:textId="77777777" w:rsidTr="0080571C">
        <w:tc>
          <w:tcPr>
            <w:tcW w:w="1666" w:type="pct"/>
          </w:tcPr>
          <w:p w14:paraId="09E072D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12.</w:t>
            </w:r>
          </w:p>
          <w:p w14:paraId="02A32EF4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When feeling stressed we lower our pitch.</w:t>
            </w:r>
          </w:p>
        </w:tc>
        <w:tc>
          <w:tcPr>
            <w:tcW w:w="1666" w:type="pct"/>
          </w:tcPr>
          <w:p w14:paraId="494CEFA0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2791B4AE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417F9EE9" w14:textId="77777777" w:rsidTr="0080571C">
        <w:tc>
          <w:tcPr>
            <w:tcW w:w="1666" w:type="pct"/>
          </w:tcPr>
          <w:p w14:paraId="2C862A19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13.</w:t>
            </w:r>
          </w:p>
          <w:p w14:paraId="3209C7F7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When we become angry, speech rate slows.</w:t>
            </w:r>
          </w:p>
        </w:tc>
        <w:tc>
          <w:tcPr>
            <w:tcW w:w="1666" w:type="pct"/>
          </w:tcPr>
          <w:p w14:paraId="3C492220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5CAF05D5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533177FF" w14:textId="77777777" w:rsidTr="0080571C">
        <w:tc>
          <w:tcPr>
            <w:tcW w:w="1666" w:type="pct"/>
          </w:tcPr>
          <w:p w14:paraId="58002503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14.</w:t>
            </w:r>
          </w:p>
          <w:p w14:paraId="1898D22A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A person’s eyes reveal amusement or enjoyment.</w:t>
            </w:r>
          </w:p>
        </w:tc>
        <w:tc>
          <w:tcPr>
            <w:tcW w:w="1666" w:type="pct"/>
          </w:tcPr>
          <w:p w14:paraId="39C3423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12D01139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4D040A3F" w14:textId="77777777" w:rsidTr="0080571C">
        <w:tc>
          <w:tcPr>
            <w:tcW w:w="1666" w:type="pct"/>
          </w:tcPr>
          <w:p w14:paraId="2FDD2315" w14:textId="06EC98C5" w:rsidR="00B619F3" w:rsidRDefault="001C52C9" w:rsidP="001C52C9">
            <w:r>
              <w:lastRenderedPageBreak/>
              <w:t>15.</w:t>
            </w:r>
          </w:p>
          <w:p w14:paraId="51979E31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It is possible to estimate another person’s age based on the sound of the person’s voice.</w:t>
            </w:r>
          </w:p>
        </w:tc>
        <w:tc>
          <w:tcPr>
            <w:tcW w:w="1666" w:type="pct"/>
          </w:tcPr>
          <w:p w14:paraId="409C952B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52136484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628EEF65" w14:textId="77777777" w:rsidTr="0080571C">
        <w:tc>
          <w:tcPr>
            <w:tcW w:w="1666" w:type="pct"/>
          </w:tcPr>
          <w:p w14:paraId="2F09FB1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16.</w:t>
            </w:r>
          </w:p>
          <w:p w14:paraId="2CF3546A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Men are better than women at reading facial cues.</w:t>
            </w:r>
          </w:p>
        </w:tc>
        <w:tc>
          <w:tcPr>
            <w:tcW w:w="1666" w:type="pct"/>
          </w:tcPr>
          <w:p w14:paraId="0DFA27EC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50DA522A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10DCB6C7" w14:textId="77777777" w:rsidTr="0080571C">
        <w:tc>
          <w:tcPr>
            <w:tcW w:w="1666" w:type="pct"/>
          </w:tcPr>
          <w:p w14:paraId="2082E33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17.</w:t>
            </w:r>
          </w:p>
          <w:p w14:paraId="58546410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When angry, most people don’t lower their brows.</w:t>
            </w:r>
          </w:p>
        </w:tc>
        <w:tc>
          <w:tcPr>
            <w:tcW w:w="1666" w:type="pct"/>
          </w:tcPr>
          <w:p w14:paraId="388FAFE6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7B5BEE95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52ABFDA2" w14:textId="77777777" w:rsidTr="0080571C">
        <w:tc>
          <w:tcPr>
            <w:tcW w:w="1666" w:type="pct"/>
          </w:tcPr>
          <w:p w14:paraId="7E5CB274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18.</w:t>
            </w:r>
          </w:p>
          <w:p w14:paraId="4536F4E4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Interpersonal attraction is not correlated with how close we stand to one another.</w:t>
            </w:r>
          </w:p>
        </w:tc>
        <w:tc>
          <w:tcPr>
            <w:tcW w:w="1666" w:type="pct"/>
          </w:tcPr>
          <w:p w14:paraId="685DA644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6BC07DEE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2DD70244" w14:textId="77777777" w:rsidTr="0080571C">
        <w:tc>
          <w:tcPr>
            <w:tcW w:w="1666" w:type="pct"/>
          </w:tcPr>
          <w:p w14:paraId="2B2E1887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19.</w:t>
            </w:r>
          </w:p>
          <w:p w14:paraId="226FC35E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Persons who dominate in conversations gaze more when speaking than when listening compared with persons who are less dominant.</w:t>
            </w:r>
          </w:p>
        </w:tc>
        <w:tc>
          <w:tcPr>
            <w:tcW w:w="1666" w:type="pct"/>
          </w:tcPr>
          <w:p w14:paraId="34A6BC33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7B8EBC34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  <w:tr w:rsidR="001C52C9" w14:paraId="74562599" w14:textId="77777777" w:rsidTr="0080571C">
        <w:tc>
          <w:tcPr>
            <w:tcW w:w="1666" w:type="pct"/>
          </w:tcPr>
          <w:p w14:paraId="2C7EA96B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20.</w:t>
            </w:r>
          </w:p>
          <w:p w14:paraId="123648FD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 xml:space="preserve">We are likely to approach high-and-low-status others more closely than we approach those whose status </w:t>
            </w:r>
            <w:r>
              <w:lastRenderedPageBreak/>
              <w:t>we perceive to be equal to our own.</w:t>
            </w:r>
          </w:p>
        </w:tc>
        <w:tc>
          <w:tcPr>
            <w:tcW w:w="1666" w:type="pct"/>
          </w:tcPr>
          <w:p w14:paraId="479AC097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  <w:tc>
          <w:tcPr>
            <w:tcW w:w="1667" w:type="pct"/>
          </w:tcPr>
          <w:p w14:paraId="16DB40EB" w14:textId="77777777" w:rsidR="009F4952" w:rsidRDefault="009F4952" w:rsidP="0080571C">
            <w:pPr>
              <w:rPr>
                <w:rFonts w:eastAsia="Times New Roman" w:cs="Times New Roman"/>
              </w:rPr>
            </w:pPr>
          </w:p>
        </w:tc>
      </w:tr>
    </w:tbl>
    <w:p w14:paraId="27ED618F" w14:textId="77777777" w:rsidR="009F4952" w:rsidRDefault="009F4952" w:rsidP="008057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8"/>
        <w:gridCol w:w="4918"/>
      </w:tblGrid>
      <w:tr w:rsidR="001C52C9" w:rsidRPr="001C52C9" w14:paraId="158FB508" w14:textId="77777777" w:rsidTr="0080571C">
        <w:tc>
          <w:tcPr>
            <w:tcW w:w="2332" w:type="pct"/>
          </w:tcPr>
          <w:p w14:paraId="58C471E8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Scoring Method</w:t>
            </w:r>
          </w:p>
        </w:tc>
        <w:tc>
          <w:tcPr>
            <w:tcW w:w="2668" w:type="pct"/>
          </w:tcPr>
          <w:p w14:paraId="0352ABA6" w14:textId="77777777" w:rsidR="009F4952" w:rsidRPr="0080571C" w:rsidRDefault="00BC61F3" w:rsidP="0080571C">
            <w:pPr>
              <w:rPr>
                <w:b/>
              </w:rPr>
            </w:pPr>
            <w:r w:rsidRPr="0080571C">
              <w:rPr>
                <w:b/>
              </w:rPr>
              <w:t>Score Interpretation</w:t>
            </w:r>
          </w:p>
        </w:tc>
      </w:tr>
      <w:tr w:rsidR="001C52C9" w14:paraId="10905190" w14:textId="77777777" w:rsidTr="0080571C">
        <w:tc>
          <w:tcPr>
            <w:tcW w:w="2332" w:type="pct"/>
          </w:tcPr>
          <w:p w14:paraId="4520B073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Give yourself 5 points for every correct answer.</w:t>
            </w:r>
          </w:p>
          <w:p w14:paraId="121E13A2" w14:textId="77777777" w:rsidR="009F4952" w:rsidRDefault="001C52C9" w:rsidP="0080571C">
            <w:pPr>
              <w:ind w:left="432"/>
              <w:rPr>
                <w:rFonts w:cs="Times New Roman"/>
              </w:rPr>
            </w:pPr>
            <w:r>
              <w:t>1.</w:t>
            </w:r>
            <w:r w:rsidR="00697CCF">
              <w:t xml:space="preserve"> </w:t>
            </w:r>
            <w:r>
              <w:t>T; 2. T; 3. T; 4. T; 5. T; 6. F; 7. T; 8. F; 9. T; 10. T; 11. F; 12. F; 13. F; 14. T; 15. T; 16. F; 17. F; 18. F; 19. T; 20. F.</w:t>
            </w:r>
          </w:p>
        </w:tc>
        <w:tc>
          <w:tcPr>
            <w:tcW w:w="2668" w:type="pct"/>
          </w:tcPr>
          <w:p w14:paraId="26E3D7E3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Was your grade expectation confirmed?</w:t>
            </w:r>
          </w:p>
          <w:p w14:paraId="171F5D9B" w14:textId="4060D57B" w:rsidR="00B619F3" w:rsidRDefault="001C52C9" w:rsidP="001C52C9">
            <w:r>
              <w:t>What does your score suggest about your nonverbal skillfulness?</w:t>
            </w:r>
          </w:p>
          <w:p w14:paraId="2956C8B2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How effective are you at reading nonverbal cues? Did the answers to any questions surprise you?</w:t>
            </w:r>
          </w:p>
          <w:p w14:paraId="015E0FC9" w14:textId="77777777" w:rsidR="009F4952" w:rsidRDefault="001C52C9" w:rsidP="0080571C">
            <w:pPr>
              <w:rPr>
                <w:rFonts w:eastAsia="Times New Roman" w:cs="Times New Roman"/>
              </w:rPr>
            </w:pPr>
            <w:r>
              <w:t>No matter how you performed on the test, there is still much to learn!</w:t>
            </w:r>
          </w:p>
        </w:tc>
      </w:tr>
    </w:tbl>
    <w:p w14:paraId="0973847E" w14:textId="77777777" w:rsidR="009F4952" w:rsidRPr="0080571C" w:rsidRDefault="00BC61F3" w:rsidP="0080571C">
      <w:pPr>
        <w:pStyle w:val="Heading1"/>
      </w:pPr>
      <w:r w:rsidRPr="00BC61F3">
        <w:t>Note</w:t>
      </w:r>
    </w:p>
    <w:sectPr w:rsidR="009F4952" w:rsidRPr="0080571C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487" w14:textId="77777777" w:rsidR="006E41AF" w:rsidRDefault="006E41AF">
      <w:r>
        <w:separator/>
      </w:r>
    </w:p>
  </w:endnote>
  <w:endnote w:type="continuationSeparator" w:id="0">
    <w:p w14:paraId="0B4000DE" w14:textId="77777777" w:rsidR="006E41AF" w:rsidRDefault="006E41AF">
      <w:r>
        <w:continuationSeparator/>
      </w:r>
    </w:p>
  </w:endnote>
  <w:endnote w:id="1">
    <w:p w14:paraId="44FB2ADD" w14:textId="77777777" w:rsidR="001C52C9" w:rsidRPr="000D709B" w:rsidRDefault="001C52C9" w:rsidP="00DB3866">
      <w:pPr>
        <w:pStyle w:val="EndnoteText"/>
        <w:rPr>
          <w:rFonts w:cs="Times New Roman"/>
          <w:i/>
        </w:rPr>
      </w:pPr>
      <w:r w:rsidRPr="000D709B">
        <w:rPr>
          <w:rStyle w:val="EndnoteReference"/>
        </w:rPr>
        <w:endnoteRef/>
      </w:r>
      <w:r w:rsidRPr="000D709B">
        <w:rPr>
          <w:rFonts w:cs="Times New Roman"/>
        </w:rPr>
        <w:t xml:space="preserve"> Janelle Rosip and Judith Hall, “Test of Nonverbal Cue Knowledge (TONCK),” </w:t>
      </w:r>
      <w:r w:rsidRPr="000D709B">
        <w:rPr>
          <w:rFonts w:cs="Times New Roman"/>
          <w:i/>
        </w:rPr>
        <w:t xml:space="preserve">Journal of Nonverbal Behavior </w:t>
      </w:r>
      <w:r w:rsidRPr="000D709B">
        <w:rPr>
          <w:rFonts w:cs="Times New Roman"/>
        </w:rPr>
        <w:t>28:4, December 2004, 267-286.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47BA" w14:textId="77777777" w:rsidR="006E41AF" w:rsidRDefault="006E41AF">
      <w:r>
        <w:separator/>
      </w:r>
    </w:p>
  </w:footnote>
  <w:footnote w:type="continuationSeparator" w:id="0">
    <w:p w14:paraId="67AB84EB" w14:textId="77777777" w:rsidR="006E41AF" w:rsidRDefault="006E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C0AD" w14:textId="77777777" w:rsidR="00B75536" w:rsidRPr="00A44E55" w:rsidRDefault="00B75536" w:rsidP="00B75536">
    <w:pPr>
      <w:jc w:val="right"/>
    </w:pPr>
    <w:r w:rsidRPr="005D5D3A">
      <w:t>G</w:t>
    </w:r>
    <w:r>
      <w:t xml:space="preserve">amble, </w:t>
    </w:r>
    <w:r w:rsidRPr="005D5D3A">
      <w:rPr>
        <w:i/>
      </w:rPr>
      <w:t>The Communication Playbook, 2e</w:t>
    </w:r>
  </w:p>
  <w:p w14:paraId="2D07979F" w14:textId="77777777" w:rsidR="00B75536" w:rsidRPr="005D5D3A" w:rsidRDefault="00B75536" w:rsidP="00B75536">
    <w:pPr>
      <w:pStyle w:val="Header"/>
      <w:jc w:val="right"/>
    </w:pPr>
    <w:r w:rsidRPr="0061412C">
      <w:t>SAGE Publishing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B228F"/>
    <w:multiLevelType w:val="hybridMultilevel"/>
    <w:tmpl w:val="C5FA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6DE9"/>
    <w:multiLevelType w:val="hybridMultilevel"/>
    <w:tmpl w:val="C14C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5B06"/>
    <w:multiLevelType w:val="hybridMultilevel"/>
    <w:tmpl w:val="232CC1AA"/>
    <w:lvl w:ilvl="0" w:tplc="CBFC27D2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C6115"/>
    <w:multiLevelType w:val="hybridMultilevel"/>
    <w:tmpl w:val="19E48BD4"/>
    <w:lvl w:ilvl="0" w:tplc="0409000F">
      <w:start w:val="1"/>
      <w:numFmt w:val="decimal"/>
      <w:pStyle w:val="SB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7531">
    <w:abstractNumId w:val="5"/>
  </w:num>
  <w:num w:numId="2" w16cid:durableId="82647803">
    <w:abstractNumId w:val="14"/>
  </w:num>
  <w:num w:numId="3" w16cid:durableId="567960845">
    <w:abstractNumId w:val="11"/>
  </w:num>
  <w:num w:numId="4" w16cid:durableId="8409380">
    <w:abstractNumId w:val="7"/>
  </w:num>
  <w:num w:numId="5" w16cid:durableId="225381427">
    <w:abstractNumId w:val="9"/>
  </w:num>
  <w:num w:numId="6" w16cid:durableId="1019359255">
    <w:abstractNumId w:val="4"/>
  </w:num>
  <w:num w:numId="7" w16cid:durableId="1114639095">
    <w:abstractNumId w:val="2"/>
  </w:num>
  <w:num w:numId="8" w16cid:durableId="243145915">
    <w:abstractNumId w:val="1"/>
  </w:num>
  <w:num w:numId="9" w16cid:durableId="1439564117">
    <w:abstractNumId w:val="0"/>
  </w:num>
  <w:num w:numId="10" w16cid:durableId="1279683576">
    <w:abstractNumId w:val="3"/>
  </w:num>
  <w:num w:numId="11" w16cid:durableId="2055079183">
    <w:abstractNumId w:val="12"/>
  </w:num>
  <w:num w:numId="12" w16cid:durableId="1394542927">
    <w:abstractNumId w:val="13"/>
  </w:num>
  <w:num w:numId="13" w16cid:durableId="97801201">
    <w:abstractNumId w:val="15"/>
  </w:num>
  <w:num w:numId="14" w16cid:durableId="224606674">
    <w:abstractNumId w:val="8"/>
  </w:num>
  <w:num w:numId="15" w16cid:durableId="1633824269">
    <w:abstractNumId w:val="6"/>
  </w:num>
  <w:num w:numId="16" w16cid:durableId="294872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19"/>
    <w:rsid w:val="00024CB8"/>
    <w:rsid w:val="00033437"/>
    <w:rsid w:val="000F388C"/>
    <w:rsid w:val="0010172F"/>
    <w:rsid w:val="00185227"/>
    <w:rsid w:val="001B761C"/>
    <w:rsid w:val="001C52C9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97CCF"/>
    <w:rsid w:val="006D1107"/>
    <w:rsid w:val="006E1D22"/>
    <w:rsid w:val="006E41AF"/>
    <w:rsid w:val="006E5044"/>
    <w:rsid w:val="0072507A"/>
    <w:rsid w:val="007557A1"/>
    <w:rsid w:val="00761723"/>
    <w:rsid w:val="007B2823"/>
    <w:rsid w:val="007C0919"/>
    <w:rsid w:val="007E62F9"/>
    <w:rsid w:val="0080571C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9F4952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619F3"/>
    <w:rsid w:val="00B73564"/>
    <w:rsid w:val="00B75536"/>
    <w:rsid w:val="00BB0C36"/>
    <w:rsid w:val="00BC61F3"/>
    <w:rsid w:val="00BD5770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63505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BFD258"/>
  <w15:docId w15:val="{54DC633D-1529-4CE5-B9AD-9FE8AD8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2C9"/>
    <w:pPr>
      <w:spacing w:after="12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B75536"/>
    <w:rPr>
      <w:sz w:val="24"/>
      <w:szCs w:val="24"/>
    </w:rPr>
  </w:style>
  <w:style w:type="paragraph" w:customStyle="1" w:styleId="TEXT">
    <w:name w:val="TEXT"/>
    <w:uiPriority w:val="99"/>
    <w:rsid w:val="001C52C9"/>
    <w:pPr>
      <w:autoSpaceDN w:val="0"/>
      <w:spacing w:line="360" w:lineRule="auto"/>
      <w:jc w:val="both"/>
    </w:pPr>
    <w:rPr>
      <w:color w:val="000000"/>
      <w:sz w:val="24"/>
      <w:szCs w:val="24"/>
    </w:rPr>
  </w:style>
  <w:style w:type="character" w:styleId="EndnoteReference">
    <w:name w:val="endnote reference"/>
    <w:uiPriority w:val="99"/>
    <w:unhideWhenUsed/>
    <w:rsid w:val="001C52C9"/>
    <w:rPr>
      <w:rFonts w:ascii="Times New Roman" w:hAnsi="Times New Roman" w:cs="Times New Roman" w:hint="default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C52C9"/>
    <w:pPr>
      <w:spacing w:after="0"/>
    </w:pPr>
    <w:rPr>
      <w:rFonts w:eastAsia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52C9"/>
    <w:rPr>
      <w:rFonts w:eastAsia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1C52C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L">
    <w:name w:val="SBL"/>
    <w:basedOn w:val="Normal"/>
    <w:uiPriority w:val="99"/>
    <w:rsid w:val="001C52C9"/>
    <w:pPr>
      <w:widowControl w:val="0"/>
      <w:numPr>
        <w:numId w:val="13"/>
      </w:numPr>
      <w:suppressAutoHyphens/>
      <w:autoSpaceDE w:val="0"/>
      <w:autoSpaceDN w:val="0"/>
      <w:adjustRightInd w:val="0"/>
      <w:spacing w:after="0"/>
      <w:jc w:val="both"/>
      <w:textAlignment w:val="center"/>
    </w:pPr>
    <w:rPr>
      <w:rFonts w:cs="Adobe Caslon Pro Regular"/>
      <w:color w:val="000000"/>
      <w:szCs w:val="20"/>
    </w:rPr>
  </w:style>
  <w:style w:type="paragraph" w:styleId="Revision">
    <w:name w:val="Revision"/>
    <w:hidden/>
    <w:uiPriority w:val="99"/>
    <w:semiHidden/>
    <w:rsid w:val="00805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6D12-A9BA-4C0A-8447-B5092A72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2906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5</cp:revision>
  <dcterms:created xsi:type="dcterms:W3CDTF">2022-01-25T11:47:00Z</dcterms:created>
  <dcterms:modified xsi:type="dcterms:W3CDTF">2022-08-22T15:04:00Z</dcterms:modified>
</cp:coreProperties>
</file>