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7E" w:rsidRPr="00674462" w:rsidRDefault="00B57C7E" w:rsidP="00B57C7E">
      <w:pPr>
        <w:pStyle w:val="Title"/>
      </w:pPr>
      <w:bookmarkStart w:id="0" w:name="_GoBack"/>
      <w:bookmarkEnd w:id="0"/>
      <w:r w:rsidRPr="00674462">
        <w:t>Lecture Notes</w:t>
      </w:r>
    </w:p>
    <w:p w:rsidR="00B57C7E" w:rsidRDefault="00B57C7E" w:rsidP="00B57C7E">
      <w:pPr>
        <w:pStyle w:val="Heading1"/>
      </w:pPr>
      <w:r>
        <w:t>Chapter 16: Phenomenology, Ethnography, and Grounded Theory</w:t>
      </w:r>
    </w:p>
    <w:p w:rsidR="00B57C7E" w:rsidRDefault="00B57C7E" w:rsidP="00B57C7E">
      <w:pPr>
        <w:pStyle w:val="Heading2"/>
      </w:pPr>
      <w:r>
        <w:t>Learning Objectives</w:t>
      </w:r>
    </w:p>
    <w:p w:rsidR="00B57C7E" w:rsidRDefault="00B57C7E" w:rsidP="00B57C7E">
      <w:pPr>
        <w:pStyle w:val="ListParagraph"/>
        <w:numPr>
          <w:ilvl w:val="1"/>
          <w:numId w:val="14"/>
        </w:numPr>
        <w:spacing w:after="200" w:line="276" w:lineRule="auto"/>
        <w:ind w:left="1170" w:hanging="540"/>
        <w:contextualSpacing/>
      </w:pPr>
      <w:r w:rsidRPr="0006172C">
        <w:t>Compare and contrast the three major approaches to qualitative research discussed in this chapter: phenomenology, ethnography, and grounded theory.</w:t>
      </w:r>
    </w:p>
    <w:p w:rsidR="00B57C7E" w:rsidRDefault="00B57C7E" w:rsidP="00B57C7E">
      <w:pPr>
        <w:pStyle w:val="ListParagraph"/>
        <w:numPr>
          <w:ilvl w:val="1"/>
          <w:numId w:val="14"/>
        </w:numPr>
        <w:spacing w:after="200" w:line="276" w:lineRule="auto"/>
        <w:ind w:left="1170" w:hanging="540"/>
        <w:contextualSpacing/>
      </w:pPr>
      <w:r w:rsidRPr="0006172C">
        <w:t>Define and explain phenomenology.</w:t>
      </w:r>
    </w:p>
    <w:p w:rsidR="00B57C7E" w:rsidRDefault="00B57C7E" w:rsidP="00B57C7E">
      <w:pPr>
        <w:pStyle w:val="ListParagraph"/>
        <w:numPr>
          <w:ilvl w:val="1"/>
          <w:numId w:val="14"/>
        </w:numPr>
        <w:spacing w:after="200" w:line="276" w:lineRule="auto"/>
        <w:ind w:left="1170" w:hanging="540"/>
        <w:contextualSpacing/>
      </w:pPr>
      <w:r w:rsidRPr="0006172C">
        <w:t>Define and explain ethnography.</w:t>
      </w:r>
    </w:p>
    <w:p w:rsidR="00B57C7E" w:rsidRPr="0006172C" w:rsidRDefault="00B57C7E" w:rsidP="00B57C7E">
      <w:pPr>
        <w:pStyle w:val="ListParagraph"/>
        <w:numPr>
          <w:ilvl w:val="1"/>
          <w:numId w:val="14"/>
        </w:numPr>
        <w:spacing w:after="200" w:line="276" w:lineRule="auto"/>
        <w:ind w:left="1170" w:hanging="540"/>
        <w:contextualSpacing/>
      </w:pPr>
      <w:r w:rsidRPr="0006172C">
        <w:t>Define and explain grounded theory.</w:t>
      </w:r>
    </w:p>
    <w:p w:rsidR="00B57C7E" w:rsidRDefault="00B57C7E" w:rsidP="00B57C7E">
      <w:pPr>
        <w:pStyle w:val="Heading2"/>
      </w:pPr>
      <w:r>
        <w:t xml:space="preserve">Chapter Summary </w:t>
      </w:r>
    </w:p>
    <w:p w:rsidR="00B57C7E" w:rsidRPr="007E1753" w:rsidRDefault="00B57C7E" w:rsidP="00B57C7E">
      <w:r>
        <w:t xml:space="preserve">This chapter discusses the final three qualitative research designs: phenomenology, ethnography, and grounded theory research designs. </w:t>
      </w:r>
    </w:p>
    <w:p w:rsidR="00B57C7E" w:rsidRPr="00674462" w:rsidRDefault="00B57C7E" w:rsidP="00B57C7E">
      <w:pPr>
        <w:pStyle w:val="Heading2"/>
      </w:pPr>
      <w:r>
        <w:t>Annotated Chapter Outline</w:t>
      </w:r>
    </w:p>
    <w:p w:rsidR="00B57C7E" w:rsidRPr="00674462" w:rsidRDefault="00B57C7E" w:rsidP="00B57C7E">
      <w:pPr>
        <w:pStyle w:val="ListParagraph"/>
        <w:numPr>
          <w:ilvl w:val="0"/>
          <w:numId w:val="13"/>
        </w:numPr>
        <w:spacing w:after="200" w:line="276" w:lineRule="auto"/>
        <w:contextualSpacing/>
      </w:pPr>
      <w:r>
        <w:t>Introduction</w:t>
      </w:r>
    </w:p>
    <w:p w:rsidR="00B57C7E" w:rsidRDefault="00B57C7E" w:rsidP="00B57C7E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>
        <w:t>In</w:t>
      </w:r>
      <w:r w:rsidRPr="00312B31">
        <w:t xml:space="preserve"> Chapter 15, we discussed the qualitative research approaches of narrative inquiry and case study research. </w:t>
      </w:r>
    </w:p>
    <w:p w:rsidR="00B57C7E" w:rsidRPr="00087E92" w:rsidRDefault="00B57C7E" w:rsidP="00B57C7E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 w:rsidRPr="00312B31">
        <w:t>In this chapter, we discuss three more major types or methods of qualitative research:</w:t>
      </w:r>
      <w:r>
        <w:t xml:space="preserve"> phenomenology, ethnography, and grounded theory. For each of these research designs</w:t>
      </w:r>
      <w:r w:rsidR="00E16442">
        <w:t>,</w:t>
      </w:r>
      <w:r>
        <w:t xml:space="preserve"> we discuss the design and its defining characteristics. In addition, information on data collection, analysis, and report writing are provided for each type of research design. </w:t>
      </w:r>
    </w:p>
    <w:p w:rsidR="00B57C7E" w:rsidRPr="00674462" w:rsidRDefault="00B57C7E" w:rsidP="00B57C7E">
      <w:pPr>
        <w:pStyle w:val="ListParagraph"/>
        <w:numPr>
          <w:ilvl w:val="0"/>
          <w:numId w:val="13"/>
        </w:numPr>
        <w:spacing w:after="200" w:line="276" w:lineRule="auto"/>
        <w:contextualSpacing/>
      </w:pPr>
      <w:r>
        <w:t xml:space="preserve">Phenomenology: </w:t>
      </w:r>
      <w:r w:rsidR="00E16442">
        <w:t xml:space="preserve">In </w:t>
      </w:r>
      <w:r>
        <w:t>phenomenology, the foundational question is “What is the meaning, structure and essence of the lived experience of this phenomenon by an individual or by many individuals.</w:t>
      </w:r>
      <w:r w:rsidR="00E16442">
        <w:t>”</w:t>
      </w:r>
      <w:r>
        <w:t xml:space="preserve"> </w:t>
      </w:r>
    </w:p>
    <w:p w:rsidR="00B57C7E" w:rsidRDefault="00B57C7E" w:rsidP="00B57C7E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 w:rsidRPr="00E951FF">
        <w:rPr>
          <w:b/>
          <w:bCs/>
        </w:rPr>
        <w:t>Phenomenology:</w:t>
      </w:r>
      <w:r>
        <w:t xml:space="preserve"> the description of one or more individuals’ consciousness and experience of a phenomenon. 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 xml:space="preserve">Provides a view into participant’s </w:t>
      </w:r>
      <w:r w:rsidRPr="00E951FF">
        <w:rPr>
          <w:b/>
          <w:bCs/>
        </w:rPr>
        <w:t xml:space="preserve">lifeworlds </w:t>
      </w:r>
      <w:r>
        <w:t>(an individual’s inner world of immediate experience) and to understand their personal meanings constructed from their “lived experiences</w:t>
      </w:r>
      <w:r w:rsidR="009635EC">
        <w:t>.</w:t>
      </w:r>
      <w:r>
        <w:t>”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 xml:space="preserve">To experience something fully, you need to </w:t>
      </w:r>
      <w:r w:rsidRPr="00871FEE">
        <w:rPr>
          <w:b/>
          <w:bCs/>
        </w:rPr>
        <w:t>bracket</w:t>
      </w:r>
      <w:r>
        <w:t xml:space="preserve"> (to suspend your preconceptions or learned feelings about a phenomenon to experience its essence) or suspend any preconceptions or learned feelings you have about the phenomenon because you want to experience it as it is.</w:t>
      </w:r>
    </w:p>
    <w:p w:rsidR="00B57C7E" w:rsidRPr="00E951FF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 xml:space="preserve">Your experience of the phenomenon because part of your consciousness. </w:t>
      </w:r>
    </w:p>
    <w:p w:rsidR="00B57C7E" w:rsidRDefault="00B57C7E" w:rsidP="00B57C7E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>
        <w:t>Examples of Phenomenology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lastRenderedPageBreak/>
        <w:t>Phenomenological studies have focused on: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 xml:space="preserve">What it is like to be a gifted student in a rural high school (Cross &amp; Stewart, 1995). 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>A teacher’s meaning or and experience of using an experiential learning approach with her students (Green, 1995).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>Children’s experiences of being in a mathematics classroom (T. Brown, 1996).</w:t>
      </w:r>
    </w:p>
    <w:p w:rsidR="00B57C7E" w:rsidRPr="00674462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>The meaning and experience of empowering other people from the perspective of the person doing the empowering (Muller, 1994).</w:t>
      </w:r>
    </w:p>
    <w:p w:rsidR="00B57C7E" w:rsidRPr="00087E92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 xml:space="preserve">Discussion Question: Ask students to compare and contrast narrative inquiry (Chapter 15) and phenomenology. </w:t>
      </w:r>
    </w:p>
    <w:p w:rsidR="00B57C7E" w:rsidRPr="00674462" w:rsidRDefault="00B57C7E" w:rsidP="00B57C7E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>
        <w:t>Types of Phenomenology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Husserlian Phenomenology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 xml:space="preserve">Focus on the unique characteristics of an individual’s experience of something. 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 xml:space="preserve">Researchers do not generally assume that individuals are completely unique. As a result, they strive to understand the commonality of human experience or </w:t>
      </w:r>
      <w:r w:rsidRPr="00871FEE">
        <w:rPr>
          <w:b/>
          <w:bCs/>
        </w:rPr>
        <w:t>essence</w:t>
      </w:r>
      <w:r>
        <w:rPr>
          <w:b/>
          <w:bCs/>
        </w:rPr>
        <w:t xml:space="preserve"> </w:t>
      </w:r>
      <w:r>
        <w:t>(the invariant structure of the experience) that is common or consistent across participants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>The search for the essences of a phenomenon is the defining characteristic of phenomenology. See Exhibit 16.1</w:t>
      </w:r>
      <w:r w:rsidR="005E1F3F">
        <w:t>.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 w:rsidRPr="004253BF">
        <w:rPr>
          <w:b/>
          <w:bCs/>
        </w:rPr>
        <w:t>Interpretative phenomenological analysis (IPA):</w:t>
      </w:r>
      <w:r>
        <w:t xml:space="preserve"> a new type of phenomenology more focused on situated, interpreted, and particular lived experiences than on transcendental experiences.  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>Interest is in research participants’ distinctive individualized perspectives on their experiences rather than experiences that cut across people.</w:t>
      </w:r>
    </w:p>
    <w:p w:rsidR="00B57C7E" w:rsidRPr="004253BF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 xml:space="preserve">Begins with particular people’s experiences at particular places and times and works up to understanding different group’s shared experiences. 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Discussion Question: In what ways are Husserlian phenomenology and IPA similar and how are they different?</w:t>
      </w:r>
    </w:p>
    <w:p w:rsidR="00B57C7E" w:rsidRDefault="00B57C7E" w:rsidP="00B57C7E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>
        <w:t>Data Collection, Analysis, and Report Writing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Typically</w:t>
      </w:r>
      <w:r w:rsidR="005E1F3F">
        <w:t>,</w:t>
      </w:r>
      <w:r>
        <w:t xml:space="preserve"> researcher collects data from several individuals and depicts their experience of something. </w:t>
      </w:r>
    </w:p>
    <w:p w:rsidR="00B57C7E" w:rsidRPr="00B517E9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Data are typically collected through in-depth interviews</w:t>
      </w:r>
      <w:r w:rsidR="003B371E">
        <w:t>,</w:t>
      </w:r>
      <w:r>
        <w:t xml:space="preserve"> and the researcher works to distill the data to the common core or essence of the experience as described by the participants. 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 xml:space="preserve">Participants must be able to relive the experience in their minds and able to focus on the experience and nothing else. 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Participants are asked to recall a specific experience he</w:t>
      </w:r>
      <w:r w:rsidR="003B371E">
        <w:t xml:space="preserve"> or </w:t>
      </w:r>
      <w:r>
        <w:t>she has had, to think about the specific experience carefully</w:t>
      </w:r>
      <w:r w:rsidR="003B371E">
        <w:t>,</w:t>
      </w:r>
      <w:r>
        <w:t xml:space="preserve"> and then describe the experience to the researcher. 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 xml:space="preserve">Written narratives can also be used. 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 xml:space="preserve">For data analysis, the researcher looks for significant statements or statements that have particular relevance to the phenomenon being studied. 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 xml:space="preserve">Some researchers use verbatim statements while others interpret and describe the meanings of the significant statements. Participants must verify the interpretations. 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 xml:space="preserve">Themes are looked for by researcher 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 xml:space="preserve">Member checking is used for validity if possible. 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Final report is a narrative that includes a description of the participants, the methods used to obtain the information, a rich description of the fundamental structure of the experience, and a discussion of the findings.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 xml:space="preserve">Individual or group differences may be discussed. 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 xml:space="preserve">Should be written so that readers feel that they understand what it would be like to experience the phenomenon itself. 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Point out examples of phenomenology research in the chapter: Exhibit</w:t>
      </w:r>
      <w:r w:rsidR="003478FA">
        <w:t>s</w:t>
      </w:r>
      <w:r>
        <w:t xml:space="preserve"> 16.2</w:t>
      </w:r>
      <w:r w:rsidR="003478FA">
        <w:t xml:space="preserve"> and</w:t>
      </w:r>
      <w:r>
        <w:t xml:space="preserve"> 16.3, 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 xml:space="preserve">Discussion Question: </w:t>
      </w:r>
      <w:r w:rsidR="003478FA">
        <w:t>I</w:t>
      </w:r>
      <w:r>
        <w:t>n phenomenology, describe how data are collected, analyzed</w:t>
      </w:r>
      <w:r w:rsidR="003478FA">
        <w:t>,</w:t>
      </w:r>
      <w:r>
        <w:t xml:space="preserve"> and reported. </w:t>
      </w:r>
    </w:p>
    <w:p w:rsidR="00B57C7E" w:rsidRDefault="00B57C7E" w:rsidP="00B57C7E">
      <w:pPr>
        <w:pStyle w:val="ListParagraph"/>
        <w:numPr>
          <w:ilvl w:val="0"/>
          <w:numId w:val="13"/>
        </w:numPr>
        <w:spacing w:after="200" w:line="276" w:lineRule="auto"/>
        <w:contextualSpacing/>
      </w:pPr>
      <w:r>
        <w:t xml:space="preserve">Ethnography: </w:t>
      </w:r>
      <w:r w:rsidR="003478FA">
        <w:t>I</w:t>
      </w:r>
      <w:r>
        <w:t>n ethnography, the foundational question is: What are the cultural characteristics of this group of people or of this cultural scene?</w:t>
      </w:r>
    </w:p>
    <w:p w:rsidR="00B57C7E" w:rsidRDefault="00B57C7E" w:rsidP="00B57C7E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 w:rsidRPr="001B715F">
        <w:rPr>
          <w:b/>
          <w:bCs/>
        </w:rPr>
        <w:t>Ethnography:</w:t>
      </w:r>
      <w:r>
        <w:t xml:space="preserve"> a form of qualitative research focused on discovering and describing the culture of a group of people.</w:t>
      </w:r>
    </w:p>
    <w:p w:rsidR="00B57C7E" w:rsidRPr="00674462" w:rsidRDefault="00B57C7E" w:rsidP="00B57C7E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>
        <w:t>The Idea of Culture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 w:rsidRPr="004E5747">
        <w:rPr>
          <w:b/>
          <w:bCs/>
        </w:rPr>
        <w:t>Culture:</w:t>
      </w:r>
      <w:r>
        <w:t xml:space="preserve"> a system of shared beliefs, values, practices, perspectives, folk knowledge, language, norms, rituals, and material objects and artifacts that members of a group use in understanding their world and in relating to others. 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4E5747">
        <w:rPr>
          <w:b/>
          <w:bCs/>
        </w:rPr>
        <w:t>Shared beliefs:</w:t>
      </w:r>
      <w:r>
        <w:t xml:space="preserve"> the specific cultural conventions or statements that people who share a culture hold to be true or false. 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4E5747">
        <w:rPr>
          <w:b/>
          <w:bCs/>
        </w:rPr>
        <w:t>Shared values:</w:t>
      </w:r>
      <w:r>
        <w:t xml:space="preserve"> the culturally defined standards about what is good or bad or desirable or undesirable.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4E5747">
        <w:rPr>
          <w:b/>
          <w:bCs/>
        </w:rPr>
        <w:t>Norms:</w:t>
      </w:r>
      <w:r>
        <w:t xml:space="preserve"> the written and unwritten rules that specify appropriate group behavior. 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4E5747">
        <w:rPr>
          <w:b/>
          <w:bCs/>
        </w:rPr>
        <w:t>Material culture</w:t>
      </w:r>
      <w:r>
        <w:t xml:space="preserve">: material things produced by group members (e.g., books, art, buildings). 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4E5747">
        <w:rPr>
          <w:b/>
          <w:bCs/>
        </w:rPr>
        <w:t>Nonmaterial culture:</w:t>
      </w:r>
      <w:r>
        <w:t xml:space="preserve"> shared believes, values, norms, </w:t>
      </w:r>
      <w:r w:rsidR="003478FA">
        <w:t>and so on</w:t>
      </w:r>
      <w:r>
        <w:t xml:space="preserve"> of a group. 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rPr>
          <w:b/>
          <w:bCs/>
        </w:rPr>
        <w:t xml:space="preserve">Subculture: </w:t>
      </w:r>
      <w:r w:rsidRPr="00EA5030">
        <w:t>a culture embedded within a larger culture.</w:t>
      </w:r>
      <w:r>
        <w:t xml:space="preserve"> 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 w:rsidRPr="004E5747">
        <w:t>People become members of a culture through socialization.</w:t>
      </w:r>
      <w:r>
        <w:t xml:space="preserve"> They come to internalize the culture and make the values and beliefs </w:t>
      </w:r>
      <w:r w:rsidR="00735555">
        <w:t xml:space="preserve">of </w:t>
      </w:r>
      <w:r>
        <w:t xml:space="preserve">their own. </w:t>
      </w:r>
    </w:p>
    <w:p w:rsidR="00B57C7E" w:rsidRPr="004E5747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 xml:space="preserve">Discussion question: Have students identify different cultures and describe whey it is a culture. </w:t>
      </w:r>
    </w:p>
    <w:p w:rsidR="00B57C7E" w:rsidRPr="004E5747" w:rsidRDefault="00B57C7E" w:rsidP="00B57C7E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 w:rsidRPr="004E5747">
        <w:t>Examples of Ethnographic Research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 xml:space="preserve">Deering (1996) studied the culture of a middle school that was known to be supportive of inclusion. 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Tunnicliffe (1995) observed and listened to children visiting a zoo.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 xml:space="preserve">Harry (1992) observed and interviewed parents from 12 Spanish-speaking Puerto Rican American families with children receiving special education services. </w:t>
      </w:r>
    </w:p>
    <w:p w:rsidR="00B57C7E" w:rsidRDefault="00B57C7E" w:rsidP="00B57C7E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>
        <w:t>Types of Ethnographic Research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 w:rsidRPr="001120FE">
        <w:rPr>
          <w:b/>
          <w:bCs/>
        </w:rPr>
        <w:t>Ethnology:</w:t>
      </w:r>
      <w:r>
        <w:t xml:space="preserve"> the comparative study of cultural groups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 xml:space="preserve">Involves conducting or comparing a series of separate ethnographic studies of the same or different cultural groups to identify general patterns and rules of social behavior. 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 w:rsidRPr="006C23A0">
        <w:rPr>
          <w:b/>
          <w:bCs/>
        </w:rPr>
        <w:t>Ethnohistory:</w:t>
      </w:r>
      <w:r>
        <w:t xml:space="preserve"> the study of the cultural past of a group of people. 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 xml:space="preserve">Often completed during the early stages of an ethnography to identify members’ cultural roots and see how the group has changed (or not) over time. 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 xml:space="preserve">Data collected from older people in the group as well as documents, oral histories, newspapers, and other resources. 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 xml:space="preserve">Can also be the end purpose of the research. 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 w:rsidRPr="006C23A0">
        <w:rPr>
          <w:b/>
          <w:bCs/>
        </w:rPr>
        <w:t>Autoethnography:</w:t>
      </w:r>
      <w:r>
        <w:t xml:space="preserve"> like an autobiography written by a qualitative researcher</w:t>
      </w:r>
      <w:r w:rsidR="00302A44">
        <w:t>,</w:t>
      </w:r>
      <w:r>
        <w:t xml:space="preserve"> focuses on self-examination, self-reflection, and purposive inclusion of extensive cultural and contextual description and detail of one’s life. 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 w:rsidRPr="006C23A0">
        <w:t>Discussion Question:</w:t>
      </w:r>
      <w:r>
        <w:t xml:space="preserve"> Compare and contrast the three types of ethnographic research. </w:t>
      </w:r>
    </w:p>
    <w:p w:rsidR="00B57C7E" w:rsidRDefault="00B57C7E" w:rsidP="00B57C7E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>
        <w:t>Data Collection, Analysis, and Report Writing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Requires extensive fieldwork</w:t>
      </w:r>
      <w:r w:rsidR="00302A44">
        <w:t>,</w:t>
      </w:r>
      <w:r>
        <w:t xml:space="preserve"> often 6 months to a year.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Researcher typically is participant or participant observer.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Data collection and analysis are concurrent or alternating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>Researchers collect some data, analyze the data, return to field to collect more data, analyze those data</w:t>
      </w:r>
      <w:r w:rsidR="00302A44">
        <w:t>,</w:t>
      </w:r>
      <w:r>
        <w:t xml:space="preserve"> and repeat this process many times. 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 xml:space="preserve">Research questions sometimes change. 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 xml:space="preserve">Researchers must avoid </w:t>
      </w:r>
      <w:r w:rsidRPr="0059660B">
        <w:rPr>
          <w:b/>
          <w:bCs/>
        </w:rPr>
        <w:t xml:space="preserve">ethnocentrism </w:t>
      </w:r>
      <w:r>
        <w:t xml:space="preserve">(judging people from a different culture according to the standards of your own culture). 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 xml:space="preserve">Researchers must take on </w:t>
      </w:r>
      <w:r w:rsidRPr="0059660B">
        <w:rPr>
          <w:b/>
          <w:bCs/>
        </w:rPr>
        <w:t>emic</w:t>
      </w:r>
      <w:r>
        <w:t xml:space="preserve"> (special words or terms used by people in their social and cultural groups) and </w:t>
      </w:r>
      <w:r w:rsidRPr="0059660B">
        <w:rPr>
          <w:b/>
          <w:bCs/>
        </w:rPr>
        <w:t>etic</w:t>
      </w:r>
      <w:r>
        <w:t xml:space="preserve"> (an external, scientific view of reality) perspectives when analyzing data. 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59660B">
        <w:rPr>
          <w:b/>
          <w:bCs/>
        </w:rPr>
        <w:t>Emic terms</w:t>
      </w:r>
      <w:r>
        <w:t>: special words or terms use</w:t>
      </w:r>
      <w:r w:rsidR="003226DF">
        <w:t>d</w:t>
      </w:r>
      <w:r>
        <w:t xml:space="preserve"> by people in their social and cultural groups. 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59660B">
        <w:rPr>
          <w:b/>
          <w:bCs/>
        </w:rPr>
        <w:t>Etic terms:</w:t>
      </w:r>
      <w:r>
        <w:t xml:space="preserve"> “objective” outsiders’ words or special terms used by social scientists to describe a group. 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 xml:space="preserve">Researchers need to use emic and etic perspectives. Using only the emic perspective would be </w:t>
      </w:r>
      <w:r w:rsidRPr="00F018A9">
        <w:rPr>
          <w:b/>
          <w:bCs/>
        </w:rPr>
        <w:t>going native</w:t>
      </w:r>
      <w:r>
        <w:t xml:space="preserve"> (identifying so completely with the group being studied that you can no longer provide and “objective outsider” or etic perspective</w:t>
      </w:r>
      <w:r w:rsidR="003226DF">
        <w:t>)</w:t>
      </w:r>
      <w:r>
        <w:t xml:space="preserve">. 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 xml:space="preserve">Researchers try to use </w:t>
      </w:r>
      <w:r w:rsidRPr="00F018A9">
        <w:rPr>
          <w:b/>
          <w:bCs/>
        </w:rPr>
        <w:t xml:space="preserve">holism </w:t>
      </w:r>
      <w:r>
        <w:t xml:space="preserve">(the idea that the whole is greater than the sum of the parts) in its description. 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>Discussion Question: Why is it important for ethnographers to use both an emic and etic perspective?</w:t>
      </w:r>
    </w:p>
    <w:p w:rsidR="00B57C7E" w:rsidRDefault="00B57C7E" w:rsidP="00B57C7E">
      <w:pPr>
        <w:pStyle w:val="ListParagraph"/>
        <w:numPr>
          <w:ilvl w:val="0"/>
          <w:numId w:val="13"/>
        </w:numPr>
        <w:spacing w:after="200" w:line="276" w:lineRule="auto"/>
        <w:contextualSpacing/>
      </w:pPr>
      <w:r>
        <w:t xml:space="preserve">Grounded Theory: the foundational question is </w:t>
      </w:r>
      <w:r w:rsidR="003226DF">
        <w:t>w</w:t>
      </w:r>
      <w:r>
        <w:t xml:space="preserve">hat theory or explanation emerges from an analysis of the data collected about this phenomenon. </w:t>
      </w:r>
    </w:p>
    <w:p w:rsidR="00B57C7E" w:rsidRDefault="00B57C7E" w:rsidP="00B57C7E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 w:rsidRPr="00330D33">
        <w:rPr>
          <w:b/>
          <w:bCs/>
        </w:rPr>
        <w:t>Grounded Theory:</w:t>
      </w:r>
      <w:r>
        <w:t xml:space="preserve"> </w:t>
      </w:r>
      <w:r w:rsidR="003226DF">
        <w:t xml:space="preserve">A </w:t>
      </w:r>
      <w:r>
        <w:t xml:space="preserve">general methodology for developing theory that is grouped in data systematically gathered and analyzed. 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Theory generation rather than theory confirmation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Theory emerges from the collected data.</w:t>
      </w:r>
    </w:p>
    <w:p w:rsidR="00B57C7E" w:rsidRPr="00674462" w:rsidRDefault="00B57C7E" w:rsidP="00B57C7E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>
        <w:t xml:space="preserve">Characteristics of a Grounded Theory </w:t>
      </w:r>
    </w:p>
    <w:p w:rsidR="00B57C7E" w:rsidRDefault="003226DF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Four</w:t>
      </w:r>
      <w:r w:rsidR="00B57C7E">
        <w:t xml:space="preserve"> important characteristics</w:t>
      </w:r>
    </w:p>
    <w:p w:rsidR="00B57C7E" w:rsidRPr="00330D33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330D33">
        <w:t>Fit</w:t>
      </w:r>
      <w:r>
        <w:t>:</w:t>
      </w:r>
      <w:r w:rsidRPr="00330D33">
        <w:t xml:space="preserve"> Does the theory correspond to real-world data? </w:t>
      </w:r>
    </w:p>
    <w:p w:rsidR="00B57C7E" w:rsidRPr="00330D33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330D33">
        <w:t>Understanding</w:t>
      </w:r>
      <w:r>
        <w:t>: I</w:t>
      </w:r>
      <w:r w:rsidRPr="00330D33">
        <w:t>s the theory clear and understandable?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330D33">
        <w:t>Generality</w:t>
      </w:r>
      <w:r>
        <w:t xml:space="preserve">: </w:t>
      </w:r>
      <w:r w:rsidRPr="00330D33">
        <w:t xml:space="preserve">Is the theory abstract enough to move beyond the specifics in the original research study? 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330D33">
        <w:t>Control</w:t>
      </w:r>
      <w:r>
        <w:t xml:space="preserve">: </w:t>
      </w:r>
      <w:r w:rsidRPr="00330D33">
        <w:t xml:space="preserve">Can the theory be applied to produce real-world results? </w:t>
      </w:r>
    </w:p>
    <w:p w:rsidR="00B57C7E" w:rsidRPr="008D3E95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 xml:space="preserve">Grounded theory is a recursive process: data are continually collected, theory is elaborated and modified in future studies. 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 xml:space="preserve">Discussion Question: Describe the characteristics of grounded theory research </w:t>
      </w:r>
      <w:r w:rsidR="003226DF">
        <w:t xml:space="preserve">which </w:t>
      </w:r>
      <w:r>
        <w:t xml:space="preserve">are similar to and very different from phenomenology and ethnography. </w:t>
      </w:r>
    </w:p>
    <w:p w:rsidR="00B57C7E" w:rsidRPr="00674462" w:rsidRDefault="00B57C7E" w:rsidP="00B57C7E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>
        <w:t>Example of a Grounded Theory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 xml:space="preserve">Creswell and Brown (1992): </w:t>
      </w:r>
      <w:r w:rsidR="003226DF">
        <w:t xml:space="preserve">How </w:t>
      </w:r>
      <w:r>
        <w:t xml:space="preserve">college and university department chairpersons interact with their faculty members. 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See Figure 16.1.</w:t>
      </w:r>
    </w:p>
    <w:p w:rsidR="00B57C7E" w:rsidRDefault="00B57C7E" w:rsidP="00B57C7E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>
        <w:t>Data Collection, Analysis, and Report Writing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 xml:space="preserve">Data collection begins at initial contact with the phenomenon and continues throughout the development of the grounded theory. 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>Concurrent and continual activities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 xml:space="preserve">Most common data collection approach is open-ended interviews although other techniques like observation can be used. 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Data analysis: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7454BA">
        <w:rPr>
          <w:b/>
          <w:bCs/>
        </w:rPr>
        <w:t>Constant comparative method:</w:t>
      </w:r>
      <w:r>
        <w:t xml:space="preserve"> constant interplay among the researcher, the data, the categories, and the developing theory. 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D34C3D">
        <w:t>Researcher needs</w:t>
      </w:r>
      <w:r>
        <w:rPr>
          <w:b/>
          <w:bCs/>
        </w:rPr>
        <w:t xml:space="preserve"> theoretical sensitivity:</w:t>
      </w:r>
      <w:r>
        <w:t xml:space="preserve"> thinking effectively about what kinds of data need to be collected and what aspects of already-collected data are the most important for the grounded theory. 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7454BA">
        <w:t xml:space="preserve">Three steps: </w:t>
      </w:r>
      <w:r>
        <w:t xml:space="preserve">open coding, axial coding, and selective coding. </w:t>
      </w:r>
    </w:p>
    <w:p w:rsidR="00B57C7E" w:rsidRPr="007454BA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93773B">
        <w:rPr>
          <w:b/>
          <w:bCs/>
        </w:rPr>
        <w:t>Open coding:</w:t>
      </w:r>
      <w:r>
        <w:t xml:space="preserve"> </w:t>
      </w:r>
      <w:r w:rsidRPr="007454BA">
        <w:t>reading transcripts line</w:t>
      </w:r>
      <w:r w:rsidR="003226DF">
        <w:t xml:space="preserve"> </w:t>
      </w:r>
      <w:r w:rsidRPr="007454BA">
        <w:t>by</w:t>
      </w:r>
      <w:r w:rsidR="003226DF">
        <w:t xml:space="preserve"> </w:t>
      </w:r>
      <w:r w:rsidRPr="007454BA">
        <w:t>line and identifying and coding the concepts found in the data</w:t>
      </w:r>
      <w:r>
        <w:t>.</w:t>
      </w:r>
      <w:r w:rsidRPr="007454BA">
        <w:t xml:space="preserve"> </w:t>
      </w:r>
    </w:p>
    <w:p w:rsidR="00B57C7E" w:rsidRPr="0093773B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93773B">
        <w:rPr>
          <w:b/>
          <w:bCs/>
        </w:rPr>
        <w:t>Axial coding:</w:t>
      </w:r>
      <w:r w:rsidRPr="0093773B">
        <w:t xml:space="preserve"> organizing the concepts and making them more abstract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93773B">
        <w:rPr>
          <w:b/>
          <w:bCs/>
        </w:rPr>
        <w:t>Selective coding:</w:t>
      </w:r>
      <w:r>
        <w:t xml:space="preserve"> </w:t>
      </w:r>
      <w:r w:rsidRPr="007454BA">
        <w:t>focusing on the main ideas, developing the story, and finalizing the grounded theory.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93773B">
        <w:t xml:space="preserve">Coding is completed when </w:t>
      </w:r>
      <w:r w:rsidRPr="0093773B">
        <w:rPr>
          <w:b/>
          <w:bCs/>
        </w:rPr>
        <w:t>theoretical saturation</w:t>
      </w:r>
      <w:r w:rsidRPr="0093773B">
        <w:t xml:space="preserve"> (when no new information or concepts are emerging from the data and the grounded theory has been validated) occurs</w:t>
      </w:r>
      <w:r w:rsidR="003226DF">
        <w:t>.</w:t>
      </w:r>
    </w:p>
    <w:p w:rsidR="00B57C7E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The research report reflects the theory generating process.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 xml:space="preserve">Major research question or topic is discussed first. 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 xml:space="preserve">Participants are discussed relatively early in the report. 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>Results section is relatively long.</w:t>
      </w:r>
    </w:p>
    <w:p w:rsidR="00B57C7E" w:rsidRDefault="00B57C7E" w:rsidP="00B57C7E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 xml:space="preserve">The final grounded theory is also discussed. </w:t>
      </w:r>
    </w:p>
    <w:p w:rsidR="00B57C7E" w:rsidRPr="0093773B" w:rsidRDefault="00B57C7E" w:rsidP="00B57C7E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Discussion Question: Why is the research report for grounded theory research structured as described in the book?</w:t>
      </w:r>
    </w:p>
    <w:p w:rsidR="00542CC3" w:rsidRPr="00A44E55" w:rsidRDefault="00542CC3" w:rsidP="006E5044"/>
    <w:sectPr w:rsidR="00542CC3" w:rsidRPr="00A44E55" w:rsidSect="003E708D">
      <w:headerReference w:type="default" r:id="rId8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01" w:rsidRDefault="00144601">
      <w:r>
        <w:separator/>
      </w:r>
    </w:p>
  </w:endnote>
  <w:endnote w:type="continuationSeparator" w:id="0">
    <w:p w:rsidR="00144601" w:rsidRDefault="0014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01" w:rsidRDefault="00144601">
      <w:r>
        <w:separator/>
      </w:r>
    </w:p>
  </w:footnote>
  <w:footnote w:type="continuationSeparator" w:id="0">
    <w:p w:rsidR="00144601" w:rsidRDefault="00144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C7E" w:rsidRPr="00496B64" w:rsidRDefault="00B57C7E" w:rsidP="00B57C7E">
    <w:pPr>
      <w:pStyle w:val="NormalWeb"/>
      <w:shd w:val="clear" w:color="auto" w:fill="FFFFFF"/>
      <w:spacing w:before="150" w:beforeAutospacing="0" w:after="0" w:afterAutospacing="0"/>
      <w:jc w:val="right"/>
      <w:rPr>
        <w:rFonts w:ascii="Arial" w:hAnsi="Arial" w:cs="Arial"/>
        <w:sz w:val="20"/>
        <w:szCs w:val="20"/>
      </w:rPr>
    </w:pPr>
    <w:r w:rsidRPr="00496B64">
      <w:rPr>
        <w:rFonts w:ascii="Arial" w:hAnsi="Arial" w:cs="Arial"/>
        <w:sz w:val="20"/>
        <w:szCs w:val="20"/>
      </w:rPr>
      <w:t xml:space="preserve">Johnson, </w:t>
    </w:r>
    <w:r w:rsidRPr="00496B64">
      <w:rPr>
        <w:rFonts w:ascii="Arial" w:hAnsi="Arial" w:cs="Arial"/>
        <w:i/>
        <w:iCs/>
        <w:sz w:val="20"/>
        <w:szCs w:val="20"/>
      </w:rPr>
      <w:t>Educational Research, 7e</w:t>
    </w:r>
  </w:p>
  <w:p w:rsidR="00B57C7E" w:rsidRPr="00496B64" w:rsidRDefault="00B57C7E" w:rsidP="00B57C7E">
    <w:pPr>
      <w:pStyle w:val="NormalWeb"/>
      <w:shd w:val="clear" w:color="auto" w:fill="FFFFFF"/>
      <w:spacing w:before="150" w:beforeAutospacing="0" w:after="0" w:afterAutospacing="0"/>
      <w:jc w:val="right"/>
      <w:rPr>
        <w:rFonts w:ascii="Arial" w:hAnsi="Arial" w:cs="Arial"/>
        <w:color w:val="333333"/>
        <w:sz w:val="20"/>
        <w:szCs w:val="20"/>
      </w:rPr>
    </w:pPr>
    <w:r w:rsidRPr="00496B64">
      <w:rPr>
        <w:rFonts w:ascii="Arial" w:hAnsi="Arial" w:cs="Arial"/>
        <w:sz w:val="20"/>
        <w:szCs w:val="20"/>
      </w:rPr>
      <w:t>SAGE Publishing,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F2F7C"/>
    <w:multiLevelType w:val="hybridMultilevel"/>
    <w:tmpl w:val="02606F5A"/>
    <w:lvl w:ilvl="0" w:tplc="921A665A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28825DA0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A642AC06">
      <w:start w:val="1"/>
      <w:numFmt w:val="decimal"/>
      <w:lvlText w:val="%3."/>
      <w:lvlJc w:val="left"/>
      <w:pPr>
        <w:ind w:left="2070" w:hanging="180"/>
      </w:pPr>
      <w:rPr>
        <w:b w:val="0"/>
      </w:rPr>
    </w:lvl>
    <w:lvl w:ilvl="3" w:tplc="627A4586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33FDC"/>
    <w:multiLevelType w:val="multilevel"/>
    <w:tmpl w:val="4C4A3076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7E"/>
    <w:rsid w:val="00024CB8"/>
    <w:rsid w:val="00033437"/>
    <w:rsid w:val="000F388C"/>
    <w:rsid w:val="00144601"/>
    <w:rsid w:val="00185227"/>
    <w:rsid w:val="001B761C"/>
    <w:rsid w:val="001F7343"/>
    <w:rsid w:val="00227074"/>
    <w:rsid w:val="00272B2E"/>
    <w:rsid w:val="002D0F36"/>
    <w:rsid w:val="00302A44"/>
    <w:rsid w:val="003226DF"/>
    <w:rsid w:val="00327683"/>
    <w:rsid w:val="00331370"/>
    <w:rsid w:val="003478FA"/>
    <w:rsid w:val="00361935"/>
    <w:rsid w:val="00370467"/>
    <w:rsid w:val="00393EAF"/>
    <w:rsid w:val="003B371E"/>
    <w:rsid w:val="003C4235"/>
    <w:rsid w:val="003D5045"/>
    <w:rsid w:val="003E708D"/>
    <w:rsid w:val="003E7BF7"/>
    <w:rsid w:val="003F0E55"/>
    <w:rsid w:val="0041308D"/>
    <w:rsid w:val="0046360F"/>
    <w:rsid w:val="004762E3"/>
    <w:rsid w:val="00486A8A"/>
    <w:rsid w:val="004B17D5"/>
    <w:rsid w:val="004C7FAF"/>
    <w:rsid w:val="00500B36"/>
    <w:rsid w:val="0053536D"/>
    <w:rsid w:val="00542CC3"/>
    <w:rsid w:val="005646CF"/>
    <w:rsid w:val="00582851"/>
    <w:rsid w:val="00593132"/>
    <w:rsid w:val="005E1F3F"/>
    <w:rsid w:val="00616A17"/>
    <w:rsid w:val="006537C0"/>
    <w:rsid w:val="00661127"/>
    <w:rsid w:val="0067627F"/>
    <w:rsid w:val="006806DA"/>
    <w:rsid w:val="006D1107"/>
    <w:rsid w:val="006E1D22"/>
    <w:rsid w:val="006E5044"/>
    <w:rsid w:val="0072507A"/>
    <w:rsid w:val="00735555"/>
    <w:rsid w:val="007557A1"/>
    <w:rsid w:val="00761723"/>
    <w:rsid w:val="007B2823"/>
    <w:rsid w:val="00811EC9"/>
    <w:rsid w:val="00852986"/>
    <w:rsid w:val="00870008"/>
    <w:rsid w:val="00876836"/>
    <w:rsid w:val="008978D0"/>
    <w:rsid w:val="008B339D"/>
    <w:rsid w:val="008C4617"/>
    <w:rsid w:val="008D029E"/>
    <w:rsid w:val="008E46E0"/>
    <w:rsid w:val="00956287"/>
    <w:rsid w:val="009635EC"/>
    <w:rsid w:val="00963D40"/>
    <w:rsid w:val="00974AA9"/>
    <w:rsid w:val="009A40A6"/>
    <w:rsid w:val="009B2FE8"/>
    <w:rsid w:val="00A059F3"/>
    <w:rsid w:val="00A1465F"/>
    <w:rsid w:val="00A44E55"/>
    <w:rsid w:val="00A84C45"/>
    <w:rsid w:val="00AB42AC"/>
    <w:rsid w:val="00AD5452"/>
    <w:rsid w:val="00AD5E2E"/>
    <w:rsid w:val="00AF311C"/>
    <w:rsid w:val="00AF4F8B"/>
    <w:rsid w:val="00AF6D5D"/>
    <w:rsid w:val="00B02AF2"/>
    <w:rsid w:val="00B164AA"/>
    <w:rsid w:val="00B31FED"/>
    <w:rsid w:val="00B36615"/>
    <w:rsid w:val="00B42E08"/>
    <w:rsid w:val="00B57C7E"/>
    <w:rsid w:val="00B73564"/>
    <w:rsid w:val="00BB0C36"/>
    <w:rsid w:val="00C048E3"/>
    <w:rsid w:val="00C55F1A"/>
    <w:rsid w:val="00C6457F"/>
    <w:rsid w:val="00C8654C"/>
    <w:rsid w:val="00CB2339"/>
    <w:rsid w:val="00CD1179"/>
    <w:rsid w:val="00CE4185"/>
    <w:rsid w:val="00CF39F3"/>
    <w:rsid w:val="00CF5F08"/>
    <w:rsid w:val="00D33536"/>
    <w:rsid w:val="00D37AF2"/>
    <w:rsid w:val="00D46302"/>
    <w:rsid w:val="00D667AA"/>
    <w:rsid w:val="00D82C89"/>
    <w:rsid w:val="00D8701F"/>
    <w:rsid w:val="00DA246F"/>
    <w:rsid w:val="00E16442"/>
    <w:rsid w:val="00E352E1"/>
    <w:rsid w:val="00E52712"/>
    <w:rsid w:val="00E74418"/>
    <w:rsid w:val="00EC67A7"/>
    <w:rsid w:val="00EC6AC2"/>
    <w:rsid w:val="00F4373D"/>
    <w:rsid w:val="00F54DB9"/>
    <w:rsid w:val="00F7153D"/>
    <w:rsid w:val="00F77A8F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4681216-FABF-40E5-ACFD-F235FF9D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C3"/>
    <w:pPr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2E3"/>
    <w:pPr>
      <w:keepNext/>
      <w:keepLines/>
      <w:spacing w:before="48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339"/>
    <w:pPr>
      <w:keepNext/>
      <w:keepLines/>
      <w:spacing w:before="20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2CC3"/>
    <w:pPr>
      <w:tabs>
        <w:tab w:val="center" w:pos="4320"/>
        <w:tab w:val="right" w:pos="8640"/>
      </w:tabs>
      <w:spacing w:after="0"/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542CC3"/>
    <w:pPr>
      <w:ind w:left="720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 w:after="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762E3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62E3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762E3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B2339"/>
    <w:rPr>
      <w:rFonts w:eastAsiaTheme="majorEastAsia" w:cstheme="majorBidi"/>
      <w:b/>
      <w:bCs/>
      <w:color w:val="5B9BD5" w:themeColor="accent1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B57C7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57C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CB0A7-4CD1-4E17-8EA6-C4D5A92D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11777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Dhayalan</dc:creator>
  <cp:lastModifiedBy>Denver</cp:lastModifiedBy>
  <cp:revision>11</cp:revision>
  <dcterms:created xsi:type="dcterms:W3CDTF">2019-08-16T12:38:00Z</dcterms:created>
  <dcterms:modified xsi:type="dcterms:W3CDTF">2019-08-23T14:40:00Z</dcterms:modified>
</cp:coreProperties>
</file>