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0B3E" w14:textId="77777777" w:rsidR="005A7F12" w:rsidRPr="006A74C7" w:rsidRDefault="005A7F12" w:rsidP="005A7F12">
      <w:pPr>
        <w:rPr>
          <w:rFonts w:ascii="Times New Roman" w:hAnsi="Times New Roman"/>
          <w:b/>
          <w:noProof w:val="0"/>
          <w:sz w:val="24"/>
          <w:szCs w:val="24"/>
        </w:rPr>
      </w:pPr>
      <w:r w:rsidRPr="006A74C7">
        <w:rPr>
          <w:rFonts w:ascii="Times New Roman" w:hAnsi="Times New Roman"/>
          <w:b/>
          <w:noProof w:val="0"/>
          <w:sz w:val="24"/>
          <w:szCs w:val="24"/>
        </w:rPr>
        <w:t>Note:</w:t>
      </w:r>
    </w:p>
    <w:p w14:paraId="25090B3F" w14:textId="77777777" w:rsidR="005A7F12" w:rsidRPr="006A74C7" w:rsidRDefault="005A7F12" w:rsidP="005A7F12">
      <w:pPr>
        <w:rPr>
          <w:rFonts w:ascii="Times New Roman" w:hAnsi="Times New Roman"/>
          <w:noProof w:val="0"/>
          <w:sz w:val="24"/>
          <w:szCs w:val="24"/>
        </w:rPr>
      </w:pPr>
      <w:r w:rsidRPr="006A74C7">
        <w:rPr>
          <w:rFonts w:ascii="Times New Roman" w:hAnsi="Times New Roman"/>
          <w:noProof w:val="0"/>
          <w:sz w:val="24"/>
          <w:szCs w:val="24"/>
        </w:rPr>
        <w:t xml:space="preserve">Many of the links provided send you to an abstract of the article. Some pages contain a preview of the article and access to the </w:t>
      </w:r>
      <w:r w:rsidR="00FE525A" w:rsidRPr="006A74C7">
        <w:rPr>
          <w:rFonts w:ascii="Times New Roman" w:hAnsi="Times New Roman"/>
          <w:noProof w:val="0"/>
          <w:sz w:val="24"/>
          <w:szCs w:val="24"/>
        </w:rPr>
        <w:t xml:space="preserve">PDF </w:t>
      </w:r>
      <w:r w:rsidRPr="006A74C7">
        <w:rPr>
          <w:rFonts w:ascii="Times New Roman" w:hAnsi="Times New Roman"/>
          <w:noProof w:val="0"/>
          <w:sz w:val="24"/>
          <w:szCs w:val="24"/>
        </w:rPr>
        <w:t xml:space="preserve">if you are a registered user of the site. In some cases registration and access </w:t>
      </w:r>
      <w:r w:rsidR="00FE525A" w:rsidRPr="006A74C7">
        <w:rPr>
          <w:rFonts w:ascii="Times New Roman" w:hAnsi="Times New Roman"/>
          <w:noProof w:val="0"/>
          <w:sz w:val="24"/>
          <w:szCs w:val="24"/>
        </w:rPr>
        <w:t xml:space="preserve">are </w:t>
      </w:r>
      <w:r w:rsidRPr="006A74C7">
        <w:rPr>
          <w:rFonts w:ascii="Times New Roman" w:hAnsi="Times New Roman"/>
          <w:noProof w:val="0"/>
          <w:sz w:val="24"/>
          <w:szCs w:val="24"/>
        </w:rPr>
        <w:t xml:space="preserve">free. In other cases access and </w:t>
      </w:r>
      <w:r w:rsidR="00FE525A" w:rsidRPr="006A74C7">
        <w:rPr>
          <w:rFonts w:ascii="Times New Roman" w:hAnsi="Times New Roman"/>
          <w:noProof w:val="0"/>
          <w:sz w:val="24"/>
          <w:szCs w:val="24"/>
        </w:rPr>
        <w:t xml:space="preserve">PDFs </w:t>
      </w:r>
      <w:r w:rsidRPr="006A74C7">
        <w:rPr>
          <w:rFonts w:ascii="Times New Roman" w:hAnsi="Times New Roman"/>
          <w:noProof w:val="0"/>
          <w:sz w:val="24"/>
          <w:szCs w:val="24"/>
        </w:rPr>
        <w:t xml:space="preserve">are either via a paid subscription or purchase of the </w:t>
      </w:r>
      <w:r w:rsidR="00FE525A" w:rsidRPr="006A74C7">
        <w:rPr>
          <w:rFonts w:ascii="Times New Roman" w:hAnsi="Times New Roman"/>
          <w:noProof w:val="0"/>
          <w:sz w:val="24"/>
          <w:szCs w:val="24"/>
        </w:rPr>
        <w:t>PDF</w:t>
      </w:r>
      <w:r w:rsidRPr="006A74C7">
        <w:rPr>
          <w:rFonts w:ascii="Times New Roman" w:hAnsi="Times New Roman"/>
          <w:noProof w:val="0"/>
          <w:sz w:val="24"/>
          <w:szCs w:val="24"/>
        </w:rPr>
        <w:t>.</w:t>
      </w:r>
    </w:p>
    <w:p w14:paraId="25090B40" w14:textId="77777777" w:rsidR="005A7F12" w:rsidRPr="006A74C7" w:rsidRDefault="005A7F12" w:rsidP="005A7F12">
      <w:pPr>
        <w:rPr>
          <w:rFonts w:ascii="Times New Roman" w:hAnsi="Times New Roman"/>
          <w:noProof w:val="0"/>
          <w:sz w:val="24"/>
          <w:szCs w:val="24"/>
        </w:rPr>
      </w:pPr>
    </w:p>
    <w:p w14:paraId="25090B41" w14:textId="77777777" w:rsidR="005A7F12" w:rsidRPr="006A74C7" w:rsidRDefault="005A7F12" w:rsidP="005A7F12">
      <w:pPr>
        <w:rPr>
          <w:rFonts w:ascii="Times New Roman" w:hAnsi="Times New Roman"/>
          <w:noProof w:val="0"/>
          <w:sz w:val="24"/>
          <w:szCs w:val="24"/>
        </w:rPr>
      </w:pPr>
      <w:r w:rsidRPr="006A74C7">
        <w:rPr>
          <w:rFonts w:ascii="Times New Roman" w:hAnsi="Times New Roman"/>
          <w:b/>
          <w:noProof w:val="0"/>
          <w:sz w:val="24"/>
          <w:szCs w:val="24"/>
        </w:rPr>
        <w:t>Readings</w:t>
      </w:r>
    </w:p>
    <w:p w14:paraId="25090B42" w14:textId="77777777" w:rsidR="006A74C7" w:rsidRPr="006A74C7" w:rsidRDefault="006A74C7" w:rsidP="005A7F12">
      <w:pPr>
        <w:pStyle w:val="Title"/>
        <w:widowControl w:val="0"/>
        <w:jc w:val="left"/>
        <w:rPr>
          <w:b w:val="0"/>
          <w:szCs w:val="24"/>
        </w:rPr>
      </w:pPr>
    </w:p>
    <w:p w14:paraId="25090B43" w14:textId="4E0B10C1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 xml:space="preserve">Bitner, M. J. (1992, April). </w:t>
      </w:r>
      <w:hyperlink r:id="rId5" w:history="1">
        <w:r w:rsidRPr="009F70D6">
          <w:rPr>
            <w:rStyle w:val="Hyperlink"/>
            <w:b w:val="0"/>
            <w:szCs w:val="24"/>
          </w:rPr>
          <w:t>Servicescapes: The impact of physical surroundings on customers and employees</w:t>
        </w:r>
      </w:hyperlink>
      <w:r w:rsidRPr="006A74C7">
        <w:rPr>
          <w:rStyle w:val="Hyperlink"/>
          <w:b w:val="0"/>
          <w:color w:val="auto"/>
          <w:szCs w:val="24"/>
          <w:u w:val="none"/>
        </w:rPr>
        <w:t>.</w:t>
      </w:r>
      <w:r w:rsidRPr="006A74C7">
        <w:rPr>
          <w:b w:val="0"/>
          <w:szCs w:val="24"/>
        </w:rPr>
        <w:t xml:space="preserve"> </w:t>
      </w:r>
      <w:r w:rsidRPr="006A74C7">
        <w:rPr>
          <w:b w:val="0"/>
          <w:i/>
          <w:szCs w:val="24"/>
        </w:rPr>
        <w:t>Journal of Marketing, 56</w:t>
      </w:r>
      <w:r w:rsidRPr="006A74C7">
        <w:rPr>
          <w:b w:val="0"/>
          <w:szCs w:val="24"/>
        </w:rPr>
        <w:t>(2), 57–71.</w:t>
      </w:r>
    </w:p>
    <w:p w14:paraId="25090B44" w14:textId="5469D765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 xml:space="preserve">Bitner, M. J., Ostrom, A. L., &amp; Meuter, M. L. (2002). </w:t>
      </w:r>
      <w:hyperlink r:id="rId6" w:history="1">
        <w:r w:rsidRPr="009F70D6">
          <w:rPr>
            <w:rStyle w:val="Hyperlink"/>
            <w:b w:val="0"/>
            <w:bCs/>
            <w:szCs w:val="24"/>
          </w:rPr>
          <w:t>Implementing successful self-service technologies</w:t>
        </w:r>
      </w:hyperlink>
      <w:r w:rsidRPr="006A74C7">
        <w:rPr>
          <w:b w:val="0"/>
          <w:bCs/>
          <w:szCs w:val="24"/>
        </w:rPr>
        <w:t>.</w:t>
      </w:r>
      <w:r w:rsidRPr="006A74C7">
        <w:rPr>
          <w:b w:val="0"/>
          <w:bCs/>
          <w:i/>
          <w:szCs w:val="24"/>
        </w:rPr>
        <w:t xml:space="preserve"> Academy of Management Executive</w:t>
      </w:r>
      <w:r w:rsidRPr="006A74C7">
        <w:rPr>
          <w:b w:val="0"/>
          <w:i/>
          <w:szCs w:val="24"/>
        </w:rPr>
        <w:t>, 16</w:t>
      </w:r>
      <w:r w:rsidRPr="006A74C7">
        <w:rPr>
          <w:b w:val="0"/>
          <w:szCs w:val="24"/>
        </w:rPr>
        <w:t>(4), 96–109</w:t>
      </w:r>
      <w:r w:rsidRPr="006A74C7">
        <w:rPr>
          <w:b w:val="0"/>
          <w:bCs/>
          <w:szCs w:val="24"/>
        </w:rPr>
        <w:t>.</w:t>
      </w:r>
    </w:p>
    <w:p w14:paraId="25090B45" w14:textId="52DD7EAA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rStyle w:val="italic1"/>
          <w:b w:val="0"/>
          <w:i w:val="0"/>
          <w:szCs w:val="24"/>
        </w:rPr>
        <w:t>Bowen, D. E., Gilliland, S. W., &amp; Folger, R.</w:t>
      </w:r>
      <w:r w:rsidRPr="006A74C7">
        <w:rPr>
          <w:szCs w:val="24"/>
        </w:rPr>
        <w:t xml:space="preserve"> </w:t>
      </w:r>
      <w:r w:rsidRPr="006A74C7">
        <w:rPr>
          <w:b w:val="0"/>
          <w:szCs w:val="24"/>
        </w:rPr>
        <w:t xml:space="preserve">(1999). </w:t>
      </w:r>
      <w:hyperlink r:id="rId7" w:history="1">
        <w:r w:rsidRPr="009F70D6">
          <w:rPr>
            <w:rStyle w:val="Hyperlink"/>
            <w:b w:val="0"/>
            <w:bCs/>
            <w:szCs w:val="24"/>
          </w:rPr>
          <w:t>HRM and service fairness: How being fair with employees spills over to customers</w:t>
        </w:r>
      </w:hyperlink>
      <w:r w:rsidRPr="006A74C7">
        <w:rPr>
          <w:rStyle w:val="bold1"/>
          <w:szCs w:val="24"/>
        </w:rPr>
        <w:t>.</w:t>
      </w:r>
      <w:r w:rsidRPr="006A74C7">
        <w:rPr>
          <w:szCs w:val="24"/>
        </w:rPr>
        <w:t xml:space="preserve"> </w:t>
      </w:r>
      <w:r w:rsidRPr="006A74C7">
        <w:rPr>
          <w:rStyle w:val="bold1"/>
          <w:i/>
          <w:szCs w:val="24"/>
        </w:rPr>
        <w:t>Organizational Dynamics</w:t>
      </w:r>
      <w:r w:rsidRPr="006A74C7">
        <w:rPr>
          <w:b w:val="0"/>
          <w:i/>
          <w:szCs w:val="24"/>
        </w:rPr>
        <w:t>, 27</w:t>
      </w:r>
      <w:r w:rsidRPr="006A74C7">
        <w:rPr>
          <w:b w:val="0"/>
          <w:szCs w:val="24"/>
        </w:rPr>
        <w:t>(3), 7–24.</w:t>
      </w:r>
    </w:p>
    <w:p w14:paraId="25090B46" w14:textId="61C42B55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 xml:space="preserve">Chase, R., &amp; Stewart, D. (1994). </w:t>
      </w:r>
      <w:hyperlink r:id="rId8" w:history="1">
        <w:r w:rsidRPr="009F70D6">
          <w:rPr>
            <w:rStyle w:val="Hyperlink"/>
            <w:b w:val="0"/>
            <w:szCs w:val="24"/>
          </w:rPr>
          <w:t>Make your services fail-safe</w:t>
        </w:r>
      </w:hyperlink>
      <w:r w:rsidRPr="006A74C7">
        <w:rPr>
          <w:b w:val="0"/>
          <w:szCs w:val="24"/>
        </w:rPr>
        <w:t xml:space="preserve">. </w:t>
      </w:r>
      <w:r w:rsidRPr="006A74C7">
        <w:rPr>
          <w:b w:val="0"/>
          <w:i/>
          <w:szCs w:val="24"/>
        </w:rPr>
        <w:t>Sloan Management Review, 35</w:t>
      </w:r>
      <w:r w:rsidRPr="006A74C7">
        <w:rPr>
          <w:b w:val="0"/>
          <w:szCs w:val="24"/>
        </w:rPr>
        <w:t>(3), 35–44.</w:t>
      </w:r>
    </w:p>
    <w:p w14:paraId="25090B47" w14:textId="2A17B1FF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 xml:space="preserve">Crotts, J., Dickson, D., &amp; Ford, R. (2005). </w:t>
      </w:r>
      <w:hyperlink r:id="rId9" w:history="1">
        <w:r w:rsidRPr="009F70D6">
          <w:rPr>
            <w:rStyle w:val="Hyperlink"/>
            <w:b w:val="0"/>
            <w:szCs w:val="24"/>
          </w:rPr>
          <w:t>Aligning organizational processes with mission: The case of service excellence</w:t>
        </w:r>
      </w:hyperlink>
      <w:r w:rsidRPr="006A74C7">
        <w:rPr>
          <w:rStyle w:val="Hyperlink"/>
          <w:b w:val="0"/>
          <w:color w:val="auto"/>
          <w:szCs w:val="24"/>
          <w:u w:val="none"/>
        </w:rPr>
        <w:t>.</w:t>
      </w:r>
      <w:r w:rsidRPr="006A74C7">
        <w:rPr>
          <w:b w:val="0"/>
          <w:szCs w:val="24"/>
        </w:rPr>
        <w:t xml:space="preserve"> </w:t>
      </w:r>
      <w:r w:rsidRPr="006A74C7">
        <w:rPr>
          <w:b w:val="0"/>
          <w:i/>
          <w:szCs w:val="24"/>
        </w:rPr>
        <w:t>Academy of Management Executive, 19</w:t>
      </w:r>
      <w:r w:rsidRPr="006A74C7">
        <w:rPr>
          <w:b w:val="0"/>
          <w:szCs w:val="24"/>
        </w:rPr>
        <w:t>(3), 54–68</w:t>
      </w:r>
      <w:r w:rsidRPr="006A74C7">
        <w:rPr>
          <w:b w:val="0"/>
          <w:bCs/>
          <w:szCs w:val="24"/>
        </w:rPr>
        <w:t>.</w:t>
      </w:r>
    </w:p>
    <w:p w14:paraId="25090B48" w14:textId="3B813368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>Dickson, D., Ford, R., &amp; Laval, B</w:t>
      </w:r>
      <w:r w:rsidR="002171E5">
        <w:rPr>
          <w:b w:val="0"/>
          <w:szCs w:val="24"/>
        </w:rPr>
        <w:t>.</w:t>
      </w:r>
      <w:r w:rsidRPr="006A74C7">
        <w:rPr>
          <w:b w:val="0"/>
          <w:szCs w:val="24"/>
        </w:rPr>
        <w:t xml:space="preserve"> (2005). </w:t>
      </w:r>
      <w:hyperlink r:id="rId10" w:history="1">
        <w:r w:rsidRPr="009F70D6">
          <w:rPr>
            <w:rStyle w:val="Hyperlink"/>
            <w:b w:val="0"/>
            <w:szCs w:val="24"/>
          </w:rPr>
          <w:t>Managing real and virtual waits in hospitality and service organizations</w:t>
        </w:r>
      </w:hyperlink>
      <w:r w:rsidRPr="006A74C7">
        <w:rPr>
          <w:rStyle w:val="Hyperlink"/>
          <w:b w:val="0"/>
          <w:color w:val="auto"/>
          <w:szCs w:val="24"/>
          <w:u w:val="none"/>
        </w:rPr>
        <w:t>.</w:t>
      </w:r>
      <w:r w:rsidRPr="006A74C7">
        <w:rPr>
          <w:b w:val="0"/>
          <w:szCs w:val="24"/>
        </w:rPr>
        <w:t xml:space="preserve"> </w:t>
      </w:r>
      <w:r w:rsidRPr="006A74C7">
        <w:rPr>
          <w:b w:val="0"/>
          <w:i/>
          <w:szCs w:val="24"/>
        </w:rPr>
        <w:t>Cornell Hotel and Restaurant Quarterly, 46</w:t>
      </w:r>
      <w:r w:rsidRPr="006A74C7">
        <w:rPr>
          <w:b w:val="0"/>
          <w:szCs w:val="24"/>
        </w:rPr>
        <w:t>(1), 52–68.</w:t>
      </w:r>
    </w:p>
    <w:p w14:paraId="25090B49" w14:textId="461F97A5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bCs/>
          <w:iCs/>
          <w:szCs w:val="24"/>
        </w:rPr>
        <w:t>Eddleston, K., Kidder, D. L., &amp; Litzky, B. E. (2002).</w:t>
      </w:r>
      <w:r w:rsidRPr="006A74C7">
        <w:rPr>
          <w:b w:val="0"/>
          <w:szCs w:val="24"/>
        </w:rPr>
        <w:t xml:space="preserve"> </w:t>
      </w:r>
      <w:hyperlink r:id="rId11" w:history="1">
        <w:r w:rsidRPr="009F70D6">
          <w:rPr>
            <w:rStyle w:val="Hyperlink"/>
            <w:b w:val="0"/>
            <w:bCs/>
            <w:szCs w:val="24"/>
          </w:rPr>
          <w:t>Who’s the boss? Contending with competing expectations from customers and management</w:t>
        </w:r>
      </w:hyperlink>
      <w:r w:rsidRPr="006A74C7">
        <w:rPr>
          <w:b w:val="0"/>
          <w:bCs/>
          <w:szCs w:val="24"/>
        </w:rPr>
        <w:t xml:space="preserve">. </w:t>
      </w:r>
      <w:r w:rsidRPr="006A74C7">
        <w:rPr>
          <w:b w:val="0"/>
          <w:bCs/>
          <w:i/>
          <w:szCs w:val="24"/>
        </w:rPr>
        <w:t>Academy of Management Executive</w:t>
      </w:r>
      <w:r w:rsidRPr="006A74C7">
        <w:rPr>
          <w:b w:val="0"/>
          <w:i/>
          <w:szCs w:val="24"/>
        </w:rPr>
        <w:t>, 16</w:t>
      </w:r>
      <w:r w:rsidRPr="006A74C7">
        <w:rPr>
          <w:b w:val="0"/>
          <w:szCs w:val="24"/>
        </w:rPr>
        <w:t>(4), 85–95</w:t>
      </w:r>
      <w:r w:rsidRPr="006A74C7">
        <w:rPr>
          <w:b w:val="0"/>
          <w:bCs/>
          <w:szCs w:val="24"/>
        </w:rPr>
        <w:t>.</w:t>
      </w:r>
    </w:p>
    <w:p w14:paraId="25090B4A" w14:textId="48439076" w:rsidR="006A74C7" w:rsidRPr="006A74C7" w:rsidRDefault="009F70D6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>
        <w:rPr>
          <w:b w:val="0"/>
          <w:szCs w:val="24"/>
        </w:rPr>
        <w:t>Ford, R</w:t>
      </w:r>
      <w:r w:rsidR="006A74C7" w:rsidRPr="006A74C7">
        <w:rPr>
          <w:b w:val="0"/>
          <w:szCs w:val="24"/>
        </w:rPr>
        <w:t xml:space="preserve">., &amp; Heaton, C. (2001). </w:t>
      </w:r>
      <w:hyperlink r:id="rId12" w:history="1">
        <w:r w:rsidR="006A74C7" w:rsidRPr="009F70D6">
          <w:rPr>
            <w:rStyle w:val="Hyperlink"/>
            <w:b w:val="0"/>
            <w:szCs w:val="24"/>
          </w:rPr>
          <w:t>Managing the guest as a quasi-employee</w:t>
        </w:r>
      </w:hyperlink>
      <w:r w:rsidR="006A74C7" w:rsidRPr="006A74C7">
        <w:rPr>
          <w:rStyle w:val="Hyperlink"/>
          <w:b w:val="0"/>
          <w:color w:val="auto"/>
          <w:szCs w:val="24"/>
          <w:u w:val="none"/>
        </w:rPr>
        <w:t>.</w:t>
      </w:r>
      <w:r w:rsidR="006A74C7" w:rsidRPr="006A74C7">
        <w:rPr>
          <w:b w:val="0"/>
          <w:szCs w:val="24"/>
        </w:rPr>
        <w:t xml:space="preserve"> </w:t>
      </w:r>
      <w:r w:rsidR="006A74C7" w:rsidRPr="006A74C7">
        <w:rPr>
          <w:b w:val="0"/>
          <w:i/>
          <w:szCs w:val="24"/>
        </w:rPr>
        <w:t>Cornell Hotel and Restaurant Quarterly, 42</w:t>
      </w:r>
      <w:r w:rsidR="006A74C7" w:rsidRPr="006A74C7">
        <w:rPr>
          <w:b w:val="0"/>
          <w:szCs w:val="24"/>
        </w:rPr>
        <w:t>(2), 46–55.</w:t>
      </w:r>
    </w:p>
    <w:p w14:paraId="25090B4B" w14:textId="74743AA5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 xml:space="preserve">Ford, R., McLaughlin, F., &amp; Newstrom, J. (2004). </w:t>
      </w:r>
      <w:hyperlink r:id="rId13" w:history="1">
        <w:r w:rsidRPr="009F70D6">
          <w:rPr>
            <w:rStyle w:val="Hyperlink"/>
            <w:b w:val="0"/>
            <w:bCs/>
            <w:iCs/>
            <w:szCs w:val="24"/>
          </w:rPr>
          <w:t>Questions and answers about fun at work</w:t>
        </w:r>
      </w:hyperlink>
      <w:r w:rsidRPr="006A74C7">
        <w:rPr>
          <w:b w:val="0"/>
          <w:bCs/>
          <w:iCs/>
          <w:szCs w:val="24"/>
        </w:rPr>
        <w:t xml:space="preserve">. </w:t>
      </w:r>
      <w:r w:rsidRPr="006A74C7">
        <w:rPr>
          <w:b w:val="0"/>
          <w:bCs/>
          <w:i/>
          <w:iCs/>
          <w:szCs w:val="24"/>
        </w:rPr>
        <w:t>Human Resource Planning, 26</w:t>
      </w:r>
      <w:r w:rsidRPr="006A74C7">
        <w:rPr>
          <w:b w:val="0"/>
          <w:bCs/>
          <w:iCs/>
          <w:szCs w:val="24"/>
        </w:rPr>
        <w:t>(4), 18–33.</w:t>
      </w:r>
    </w:p>
    <w:p w14:paraId="25090B4C" w14:textId="72253B42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rStyle w:val="medium-font1"/>
          <w:b w:val="0"/>
          <w:sz w:val="24"/>
          <w:szCs w:val="24"/>
        </w:rPr>
        <w:t>Hennig-Thurau, T., Groth, M., Paul, M., &amp; Gremler, D. D.</w:t>
      </w:r>
      <w:r w:rsidRPr="006A74C7">
        <w:rPr>
          <w:b w:val="0"/>
          <w:szCs w:val="24"/>
        </w:rPr>
        <w:t xml:space="preserve"> </w:t>
      </w:r>
      <w:bookmarkStart w:id="0" w:name="Result_1"/>
      <w:r w:rsidRPr="006A74C7">
        <w:rPr>
          <w:b w:val="0"/>
          <w:szCs w:val="24"/>
        </w:rPr>
        <w:t xml:space="preserve">(2006). </w:t>
      </w:r>
      <w:hyperlink r:id="rId14" w:history="1">
        <w:r w:rsidRPr="009F70D6">
          <w:rPr>
            <w:rStyle w:val="Hyperlink"/>
            <w:b w:val="0"/>
            <w:szCs w:val="24"/>
          </w:rPr>
          <w:t>Are all smiles created equal? How emotional contagion and emotional labor affect service relationships</w:t>
        </w:r>
        <w:bookmarkEnd w:id="0"/>
      </w:hyperlink>
      <w:r w:rsidRPr="006A74C7">
        <w:rPr>
          <w:b w:val="0"/>
          <w:szCs w:val="24"/>
        </w:rPr>
        <w:t xml:space="preserve">. </w:t>
      </w:r>
      <w:r w:rsidRPr="006A74C7">
        <w:rPr>
          <w:rStyle w:val="medium-font1"/>
          <w:b w:val="0"/>
          <w:i/>
          <w:sz w:val="24"/>
          <w:szCs w:val="24"/>
        </w:rPr>
        <w:t>Journal of Marketing, 70</w:t>
      </w:r>
      <w:r w:rsidRPr="006A74C7">
        <w:rPr>
          <w:rStyle w:val="medium-font1"/>
          <w:b w:val="0"/>
          <w:sz w:val="24"/>
          <w:szCs w:val="24"/>
        </w:rPr>
        <w:t>(3), 58–73.</w:t>
      </w:r>
    </w:p>
    <w:p w14:paraId="25090B4D" w14:textId="455A365A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 xml:space="preserve">Pine, B. J., &amp; Gilmore, J. H. (1998, July–Aug). </w:t>
      </w:r>
      <w:hyperlink r:id="rId15" w:history="1">
        <w:r w:rsidRPr="00A83C65">
          <w:rPr>
            <w:rStyle w:val="Hyperlink"/>
            <w:b w:val="0"/>
            <w:szCs w:val="24"/>
          </w:rPr>
          <w:t>Welcome to the experience economy</w:t>
        </w:r>
      </w:hyperlink>
      <w:r w:rsidRPr="006A74C7">
        <w:rPr>
          <w:rStyle w:val="Hyperlink"/>
          <w:b w:val="0"/>
          <w:color w:val="auto"/>
          <w:szCs w:val="24"/>
          <w:u w:val="none"/>
        </w:rPr>
        <w:t>.</w:t>
      </w:r>
      <w:r w:rsidRPr="006A74C7">
        <w:rPr>
          <w:b w:val="0"/>
          <w:szCs w:val="24"/>
        </w:rPr>
        <w:t xml:space="preserve"> </w:t>
      </w:r>
      <w:r w:rsidRPr="006A74C7">
        <w:rPr>
          <w:b w:val="0"/>
          <w:i/>
          <w:szCs w:val="24"/>
        </w:rPr>
        <w:t>Harvard Business Review</w:t>
      </w:r>
      <w:r w:rsidRPr="006A74C7">
        <w:rPr>
          <w:b w:val="0"/>
          <w:szCs w:val="24"/>
        </w:rPr>
        <w:t>, 97–108.</w:t>
      </w:r>
    </w:p>
    <w:p w14:paraId="25090B4E" w14:textId="156B175A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bCs/>
          <w:iCs/>
          <w:szCs w:val="24"/>
        </w:rPr>
        <w:t>Pugh, S. D., Dietz, J., Wiley, J. W., &amp; Brooks,</w:t>
      </w:r>
      <w:r w:rsidRPr="006A74C7">
        <w:rPr>
          <w:b w:val="0"/>
          <w:szCs w:val="24"/>
        </w:rPr>
        <w:t xml:space="preserve"> </w:t>
      </w:r>
      <w:r w:rsidRPr="006A74C7">
        <w:rPr>
          <w:b w:val="0"/>
          <w:bCs/>
          <w:iCs/>
          <w:szCs w:val="24"/>
        </w:rPr>
        <w:t xml:space="preserve">S. M. (2002). </w:t>
      </w:r>
      <w:hyperlink r:id="rId16" w:anchor="page_scan_tab_contents" w:history="1">
        <w:r w:rsidRPr="00A83C65">
          <w:rPr>
            <w:rStyle w:val="Hyperlink"/>
            <w:b w:val="0"/>
            <w:szCs w:val="24"/>
          </w:rPr>
          <w:t xml:space="preserve">Driving service </w:t>
        </w:r>
        <w:r w:rsidRPr="00A83C65">
          <w:rPr>
            <w:rStyle w:val="Hyperlink"/>
            <w:b w:val="0"/>
            <w:szCs w:val="24"/>
          </w:rPr>
          <w:lastRenderedPageBreak/>
          <w:t>effectiveness through employee-customer linkages</w:t>
        </w:r>
      </w:hyperlink>
      <w:r w:rsidRPr="006A74C7">
        <w:rPr>
          <w:rStyle w:val="Hyperlink"/>
          <w:b w:val="0"/>
          <w:color w:val="auto"/>
          <w:szCs w:val="24"/>
        </w:rPr>
        <w:t>.</w:t>
      </w:r>
      <w:r w:rsidRPr="006A74C7">
        <w:rPr>
          <w:b w:val="0"/>
          <w:szCs w:val="24"/>
        </w:rPr>
        <w:t xml:space="preserve"> </w:t>
      </w:r>
      <w:r w:rsidRPr="006A74C7">
        <w:rPr>
          <w:b w:val="0"/>
          <w:bCs/>
          <w:i/>
          <w:szCs w:val="24"/>
        </w:rPr>
        <w:t>Academy of Management Executive</w:t>
      </w:r>
      <w:r w:rsidRPr="006A74C7">
        <w:rPr>
          <w:b w:val="0"/>
          <w:i/>
          <w:szCs w:val="24"/>
        </w:rPr>
        <w:t>,</w:t>
      </w:r>
      <w:r w:rsidRPr="006A74C7">
        <w:rPr>
          <w:b w:val="0"/>
          <w:bCs/>
          <w:szCs w:val="24"/>
        </w:rPr>
        <w:t xml:space="preserve"> </w:t>
      </w:r>
      <w:r w:rsidRPr="006A74C7">
        <w:rPr>
          <w:b w:val="0"/>
          <w:bCs/>
          <w:i/>
          <w:szCs w:val="24"/>
        </w:rPr>
        <w:t>16</w:t>
      </w:r>
      <w:r w:rsidRPr="006A74C7">
        <w:rPr>
          <w:b w:val="0"/>
          <w:bCs/>
          <w:szCs w:val="24"/>
        </w:rPr>
        <w:t>, 73–84.</w:t>
      </w:r>
    </w:p>
    <w:p w14:paraId="25090B4F" w14:textId="6E5988D8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 xml:space="preserve">Reinartz, J., &amp; Kumar, V. (2002, July). </w:t>
      </w:r>
      <w:hyperlink r:id="rId17" w:history="1">
        <w:r w:rsidRPr="00A83C65">
          <w:rPr>
            <w:rStyle w:val="Hyperlink"/>
            <w:b w:val="0"/>
            <w:szCs w:val="24"/>
          </w:rPr>
          <w:t>The mismanagement of customer loyalty</w:t>
        </w:r>
      </w:hyperlink>
      <w:r w:rsidRPr="006A74C7">
        <w:rPr>
          <w:rStyle w:val="Hyperlink"/>
          <w:b w:val="0"/>
          <w:color w:val="auto"/>
          <w:szCs w:val="24"/>
          <w:u w:val="none"/>
        </w:rPr>
        <w:t>.</w:t>
      </w:r>
      <w:r w:rsidRPr="006A74C7">
        <w:rPr>
          <w:b w:val="0"/>
          <w:szCs w:val="24"/>
        </w:rPr>
        <w:t xml:space="preserve"> </w:t>
      </w:r>
      <w:r w:rsidRPr="006A74C7">
        <w:rPr>
          <w:b w:val="0"/>
          <w:i/>
          <w:szCs w:val="24"/>
        </w:rPr>
        <w:t>Harvard Business Review</w:t>
      </w:r>
      <w:r w:rsidRPr="006A74C7">
        <w:rPr>
          <w:b w:val="0"/>
          <w:szCs w:val="24"/>
        </w:rPr>
        <w:t>, 86–94.</w:t>
      </w:r>
    </w:p>
    <w:p w14:paraId="25090B50" w14:textId="0A951847" w:rsidR="006A74C7" w:rsidRPr="006A74C7" w:rsidRDefault="006A74C7" w:rsidP="006A74C7">
      <w:pPr>
        <w:pStyle w:val="Title"/>
        <w:widowControl w:val="0"/>
        <w:numPr>
          <w:ilvl w:val="0"/>
          <w:numId w:val="1"/>
        </w:numPr>
        <w:spacing w:before="240"/>
        <w:jc w:val="left"/>
        <w:rPr>
          <w:b w:val="0"/>
          <w:szCs w:val="24"/>
        </w:rPr>
      </w:pPr>
      <w:r w:rsidRPr="006A74C7">
        <w:rPr>
          <w:b w:val="0"/>
          <w:szCs w:val="24"/>
        </w:rPr>
        <w:t xml:space="preserve">Tax, S. S., &amp; Brown, S.W. (1998, Fall). </w:t>
      </w:r>
      <w:hyperlink r:id="rId18" w:history="1">
        <w:r w:rsidRPr="00A83C65">
          <w:rPr>
            <w:rStyle w:val="Hyperlink"/>
            <w:b w:val="0"/>
            <w:szCs w:val="24"/>
          </w:rPr>
          <w:t>Recovering and learning from service failure</w:t>
        </w:r>
      </w:hyperlink>
      <w:r w:rsidRPr="006A74C7">
        <w:rPr>
          <w:rStyle w:val="Hyperlink"/>
          <w:b w:val="0"/>
          <w:color w:val="auto"/>
          <w:szCs w:val="24"/>
          <w:u w:val="none"/>
        </w:rPr>
        <w:t>.</w:t>
      </w:r>
      <w:r w:rsidRPr="006A74C7">
        <w:rPr>
          <w:b w:val="0"/>
          <w:szCs w:val="24"/>
        </w:rPr>
        <w:t xml:space="preserve"> </w:t>
      </w:r>
      <w:r w:rsidRPr="006A74C7">
        <w:rPr>
          <w:b w:val="0"/>
          <w:i/>
          <w:szCs w:val="24"/>
        </w:rPr>
        <w:t>Sloan Management Review, 40</w:t>
      </w:r>
      <w:r w:rsidRPr="006A74C7">
        <w:rPr>
          <w:b w:val="0"/>
          <w:szCs w:val="24"/>
        </w:rPr>
        <w:t>(1), 75–88.</w:t>
      </w:r>
    </w:p>
    <w:p w14:paraId="25090B51" w14:textId="77777777" w:rsidR="008C333B" w:rsidRPr="006A74C7" w:rsidRDefault="00A83C65" w:rsidP="005A7F12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C333B" w:rsidRPr="006A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392"/>
    <w:multiLevelType w:val="hybridMultilevel"/>
    <w:tmpl w:val="7010903E"/>
    <w:lvl w:ilvl="0" w:tplc="7152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2"/>
    <w:rsid w:val="000720D8"/>
    <w:rsid w:val="002171E5"/>
    <w:rsid w:val="00274DE8"/>
    <w:rsid w:val="002E2600"/>
    <w:rsid w:val="0046297D"/>
    <w:rsid w:val="00562812"/>
    <w:rsid w:val="00582356"/>
    <w:rsid w:val="005A7F12"/>
    <w:rsid w:val="005F05E2"/>
    <w:rsid w:val="00614169"/>
    <w:rsid w:val="006A74C7"/>
    <w:rsid w:val="007930B5"/>
    <w:rsid w:val="00945407"/>
    <w:rsid w:val="009F70D6"/>
    <w:rsid w:val="00A83C65"/>
    <w:rsid w:val="00AC6723"/>
    <w:rsid w:val="00C341A5"/>
    <w:rsid w:val="00D14AAA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0B3E"/>
  <w15:docId w15:val="{45E81D1C-B2BB-4645-84FE-1E72BC6B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12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5A7F12"/>
    <w:pPr>
      <w:keepNext/>
      <w:outlineLvl w:val="1"/>
    </w:pPr>
    <w:rPr>
      <w:rFonts w:ascii="Times" w:eastAsia="Times" w:hAnsi="Times"/>
      <w:b/>
      <w:noProof w:val="0"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F12"/>
    <w:rPr>
      <w:rFonts w:ascii="Times" w:eastAsia="Times" w:hAnsi="Time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A7F12"/>
    <w:pPr>
      <w:jc w:val="center"/>
    </w:pPr>
    <w:rPr>
      <w:rFonts w:ascii="Times New Roman" w:hAnsi="Times New Roman"/>
      <w:b/>
      <w:noProof w:val="0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basedOn w:val="DefaultParagraphFont"/>
    <w:link w:val="Title"/>
    <w:rsid w:val="005A7F1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5A7F12"/>
    <w:rPr>
      <w:color w:val="0033FF"/>
      <w:u w:val="single"/>
    </w:rPr>
  </w:style>
  <w:style w:type="character" w:customStyle="1" w:styleId="medium-font1">
    <w:name w:val="medium-font1"/>
    <w:rsid w:val="005A7F12"/>
    <w:rPr>
      <w:sz w:val="19"/>
      <w:szCs w:val="19"/>
    </w:rPr>
  </w:style>
  <w:style w:type="character" w:customStyle="1" w:styleId="italic1">
    <w:name w:val="italic1"/>
    <w:rsid w:val="005A7F12"/>
    <w:rPr>
      <w:i/>
      <w:iCs/>
    </w:rPr>
  </w:style>
  <w:style w:type="character" w:customStyle="1" w:styleId="bold1">
    <w:name w:val="bold1"/>
    <w:rsid w:val="005A7F1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7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review.mit.edu/article/make-your-service-failsafe/" TargetMode="External"/><Relationship Id="rId13" Type="http://schemas.openxmlformats.org/officeDocument/2006/relationships/hyperlink" Target="https://pdfs.semanticscholar.org/3b34/9a3cd0fad79c80e14b295780409a4b48ce78.pdf" TargetMode="External"/><Relationship Id="rId18" Type="http://schemas.openxmlformats.org/officeDocument/2006/relationships/hyperlink" Target="https://sloanreview.mit.edu/article/recovering-and-learning-from-service-fail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S0090-2616(99)90018-9" TargetMode="External"/><Relationship Id="rId12" Type="http://schemas.openxmlformats.org/officeDocument/2006/relationships/hyperlink" Target="http://journals.sagepub.com/doi/pdf/10.1177/0010880401422004" TargetMode="External"/><Relationship Id="rId17" Type="http://schemas.openxmlformats.org/officeDocument/2006/relationships/hyperlink" Target="https://hbr.org/2002/07/the-mismanagement-of-customer-loyalty?autocomplete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stable/4165904?seq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4165906" TargetMode="External"/><Relationship Id="rId11" Type="http://schemas.openxmlformats.org/officeDocument/2006/relationships/hyperlink" Target="https://www.jstor.org/stable/4165905" TargetMode="External"/><Relationship Id="rId5" Type="http://schemas.openxmlformats.org/officeDocument/2006/relationships/hyperlink" Target="https://www.jstor.org/stable/1252042" TargetMode="External"/><Relationship Id="rId15" Type="http://schemas.openxmlformats.org/officeDocument/2006/relationships/hyperlink" Target="https://hbr.org/1998/07/welcome-to-the-experience-economy?autocomplete=true" TargetMode="External"/><Relationship Id="rId10" Type="http://schemas.openxmlformats.org/officeDocument/2006/relationships/hyperlink" Target="http://journals.sagepub.com/doi/pdf/10.1177/00108804042715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4166198" TargetMode="External"/><Relationship Id="rId14" Type="http://schemas.openxmlformats.org/officeDocument/2006/relationships/hyperlink" Target="https://doi.org/10.1509/jmkg.70.3.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Scelsi</dc:creator>
  <cp:lastModifiedBy>Brianna Levenson</cp:lastModifiedBy>
  <cp:revision>2</cp:revision>
  <dcterms:created xsi:type="dcterms:W3CDTF">2018-12-05T18:37:00Z</dcterms:created>
  <dcterms:modified xsi:type="dcterms:W3CDTF">2018-12-05T18:37:00Z</dcterms:modified>
</cp:coreProperties>
</file>