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0F" w:rsidRPr="00C70BF4" w:rsidRDefault="00D30726" w:rsidP="008F1F3E">
      <w:pPr>
        <w:pStyle w:val="Title"/>
      </w:pPr>
      <w:bookmarkStart w:id="0" w:name="_GoBack"/>
      <w:bookmarkEnd w:id="0"/>
      <w:r w:rsidRPr="00C70BF4">
        <w:t xml:space="preserve">Module 1: </w:t>
      </w:r>
      <w:r>
        <w:t>Using Science to Inform Classroom Practices</w:t>
      </w:r>
      <w:r w:rsidRPr="00C70BF4">
        <w:t xml:space="preserve"> </w:t>
      </w:r>
    </w:p>
    <w:p w:rsidR="009F070F" w:rsidRPr="00C70BF4" w:rsidRDefault="008F29BD" w:rsidP="008F1F3E">
      <w:pPr>
        <w:pStyle w:val="Heading1"/>
      </w:pPr>
      <w:r w:rsidRPr="00C70BF4">
        <w:t xml:space="preserve">Reflect and Evaluate </w:t>
      </w:r>
    </w:p>
    <w:p w:rsidR="009F070F" w:rsidRDefault="009F070F" w:rsidP="009F070F">
      <w:pPr>
        <w:jc w:val="center"/>
      </w:pPr>
    </w:p>
    <w:p w:rsidR="009F070F" w:rsidRPr="007B0465" w:rsidRDefault="009F070F" w:rsidP="009F070F">
      <w:pPr>
        <w:jc w:val="center"/>
        <w:rPr>
          <w:b/>
        </w:rPr>
      </w:pPr>
      <w:r>
        <w:rPr>
          <w:b/>
        </w:rPr>
        <w:t xml:space="preserve">Middle School: </w:t>
      </w:r>
      <w:r w:rsidRPr="007B0465">
        <w:rPr>
          <w:b/>
        </w:rPr>
        <w:t>“Achievement Gap”</w:t>
      </w:r>
    </w:p>
    <w:p w:rsidR="009F070F" w:rsidRPr="00C70BF4" w:rsidRDefault="009F070F" w:rsidP="009F070F">
      <w:pPr>
        <w:jc w:val="center"/>
        <w:rPr>
          <w:b/>
        </w:rPr>
      </w:pPr>
    </w:p>
    <w:p w:rsidR="009F070F" w:rsidRPr="009D6C95" w:rsidRDefault="009F070F" w:rsidP="009D6C95">
      <w:pPr>
        <w:pStyle w:val="ListParagraph"/>
        <w:numPr>
          <w:ilvl w:val="0"/>
          <w:numId w:val="2"/>
        </w:numPr>
        <w:rPr>
          <w:b/>
        </w:rPr>
      </w:pPr>
      <w:r w:rsidRPr="009D6C95">
        <w:rPr>
          <w:b/>
        </w:rPr>
        <w:t>Why are the resources available in school districts important for understanding differences among teachers and students?</w:t>
      </w:r>
    </w:p>
    <w:p w:rsidR="009F070F" w:rsidRDefault="009F070F" w:rsidP="009F070F">
      <w:pPr>
        <w:ind w:left="720"/>
      </w:pPr>
      <w:r w:rsidRPr="00C70BF4">
        <w:t xml:space="preserve">Lower </w:t>
      </w:r>
      <w:r w:rsidRPr="009D6C95">
        <w:rPr>
          <w:i/>
        </w:rPr>
        <w:t>SES school districts</w:t>
      </w:r>
      <w:r w:rsidRPr="00C70BF4">
        <w:t xml:space="preserve"> may not have the same quality teachers nor the same resources such as computers. In addition, students from </w:t>
      </w:r>
      <w:r w:rsidRPr="009D6C95">
        <w:rPr>
          <w:i/>
        </w:rPr>
        <w:t>lower SES homes</w:t>
      </w:r>
      <w:r w:rsidRPr="00C70BF4">
        <w:t xml:space="preserve"> may be at a disadvantage prior to school due to fewer resources, nutrition differences, and peer rejection. </w:t>
      </w:r>
    </w:p>
    <w:p w:rsidR="009F070F" w:rsidRPr="00C70BF4" w:rsidRDefault="009F070F" w:rsidP="009F070F">
      <w:pPr>
        <w:ind w:left="360"/>
      </w:pPr>
    </w:p>
    <w:p w:rsidR="009F070F" w:rsidRPr="00BA72F4" w:rsidRDefault="009F070F" w:rsidP="009D6C95">
      <w:pPr>
        <w:pStyle w:val="ListParagraph"/>
        <w:numPr>
          <w:ilvl w:val="0"/>
          <w:numId w:val="2"/>
        </w:numPr>
      </w:pPr>
      <w:r w:rsidRPr="009D6C95">
        <w:rPr>
          <w:b/>
        </w:rPr>
        <w:t>Why is knowledge that the sample was college students important for interpreting the results of the study?</w:t>
      </w:r>
    </w:p>
    <w:p w:rsidR="009F070F" w:rsidRPr="00C70BF4" w:rsidRDefault="009F070F" w:rsidP="009F070F">
      <w:pPr>
        <w:ind w:left="720"/>
      </w:pPr>
      <w:r w:rsidRPr="00C70BF4">
        <w:t xml:space="preserve">Because the newspaper suggested that the achievement gap had vanished for all age groups when </w:t>
      </w:r>
      <w:r w:rsidRPr="009D6C95">
        <w:rPr>
          <w:i/>
        </w:rPr>
        <w:t>only college students</w:t>
      </w:r>
      <w:r w:rsidRPr="00C70BF4">
        <w:t xml:space="preserve"> were included in the study. The results cannot be generalized to other populations because college students are </w:t>
      </w:r>
      <w:r w:rsidRPr="009D6C95">
        <w:rPr>
          <w:i/>
        </w:rPr>
        <w:t>probably the better students</w:t>
      </w:r>
      <w:r w:rsidRPr="00C70BF4">
        <w:t xml:space="preserve"> than those who do not attend college and represent all K</w:t>
      </w:r>
      <w:r w:rsidR="00CE681E">
        <w:t>–</w:t>
      </w:r>
      <w:r w:rsidRPr="00C70BF4">
        <w:t>12 students.</w:t>
      </w:r>
    </w:p>
    <w:p w:rsidR="009F070F" w:rsidRDefault="009F070F" w:rsidP="009F070F">
      <w:pPr>
        <w:ind w:left="360"/>
      </w:pPr>
    </w:p>
    <w:p w:rsidR="009F070F" w:rsidRPr="00BA72F4" w:rsidRDefault="009F070F" w:rsidP="009D6C95">
      <w:pPr>
        <w:pStyle w:val="ListParagraph"/>
        <w:numPr>
          <w:ilvl w:val="0"/>
          <w:numId w:val="2"/>
        </w:numPr>
      </w:pPr>
      <w:r w:rsidRPr="009D6C95">
        <w:rPr>
          <w:b/>
        </w:rPr>
        <w:t>Why is the survey measure used in the study problematic? What might be an alternative measure?</w:t>
      </w:r>
    </w:p>
    <w:p w:rsidR="009F070F" w:rsidRPr="00C70BF4" w:rsidRDefault="009F070F" w:rsidP="009F070F">
      <w:pPr>
        <w:ind w:left="720"/>
      </w:pPr>
      <w:r w:rsidRPr="00C70BF4">
        <w:t xml:space="preserve">Survey measures of GPA may include </w:t>
      </w:r>
      <w:r w:rsidRPr="009D6C95">
        <w:rPr>
          <w:i/>
        </w:rPr>
        <w:t>false information</w:t>
      </w:r>
      <w:r w:rsidRPr="00C70BF4">
        <w:t xml:space="preserve"> because students may over- or underestimate their GPA. A </w:t>
      </w:r>
      <w:r w:rsidRPr="009D6C95">
        <w:rPr>
          <w:i/>
        </w:rPr>
        <w:t>test to measure achievement</w:t>
      </w:r>
      <w:r w:rsidRPr="00C70BF4">
        <w:t xml:space="preserve"> would be better than simply asking students about their level of achievement. </w:t>
      </w:r>
    </w:p>
    <w:p w:rsidR="009F070F" w:rsidRDefault="009F070F" w:rsidP="009F070F">
      <w:pPr>
        <w:ind w:left="360"/>
      </w:pPr>
    </w:p>
    <w:p w:rsidR="009F070F" w:rsidRPr="00BA72F4" w:rsidRDefault="009F070F" w:rsidP="009D6C95">
      <w:pPr>
        <w:pStyle w:val="ListParagraph"/>
        <w:numPr>
          <w:ilvl w:val="0"/>
          <w:numId w:val="2"/>
        </w:numPr>
      </w:pPr>
      <w:r w:rsidRPr="009D6C95">
        <w:rPr>
          <w:b/>
        </w:rPr>
        <w:t>What type of research design was used in the study? What type of information can be interpreted from this type of research design?</w:t>
      </w:r>
    </w:p>
    <w:p w:rsidR="009F070F" w:rsidRPr="00C70BF4" w:rsidRDefault="009F070F" w:rsidP="009F070F">
      <w:pPr>
        <w:ind w:left="720"/>
      </w:pPr>
      <w:r w:rsidRPr="00C70BF4">
        <w:t xml:space="preserve">The research design was </w:t>
      </w:r>
      <w:r w:rsidRPr="009D6C95">
        <w:rPr>
          <w:i/>
        </w:rPr>
        <w:t>quasi-experimental</w:t>
      </w:r>
      <w:r w:rsidRPr="00C70BF4">
        <w:t xml:space="preserve"> as it compared scores among two groups who were not randomly assigned. This type of research design only allows one </w:t>
      </w:r>
      <w:r w:rsidRPr="009D6C95">
        <w:rPr>
          <w:i/>
        </w:rPr>
        <w:t>to infer cause and effect</w:t>
      </w:r>
      <w:r w:rsidRPr="00C70BF4">
        <w:t xml:space="preserve"> because other variables (SES) were not controlled. (</w:t>
      </w:r>
      <w:r w:rsidRPr="00C70BF4">
        <w:rPr>
          <w:i/>
        </w:rPr>
        <w:t>Students may also say descriptive or correlational here depending on how far you got in lecture</w:t>
      </w:r>
      <w:r w:rsidR="002D362B">
        <w:rPr>
          <w:i/>
        </w:rPr>
        <w:t>.</w:t>
      </w:r>
      <w:r w:rsidRPr="00C70BF4">
        <w:rPr>
          <w:i/>
        </w:rPr>
        <w:t>)</w:t>
      </w:r>
    </w:p>
    <w:p w:rsidR="009F070F" w:rsidRPr="00C70BF4" w:rsidRDefault="009F070F" w:rsidP="009F070F">
      <w:pPr>
        <w:ind w:left="360"/>
      </w:pPr>
    </w:p>
    <w:p w:rsidR="009F070F" w:rsidRPr="00BA72F4" w:rsidRDefault="009F070F" w:rsidP="009D6C95">
      <w:pPr>
        <w:pStyle w:val="ListParagraph"/>
        <w:numPr>
          <w:ilvl w:val="0"/>
          <w:numId w:val="2"/>
        </w:numPr>
      </w:pPr>
      <w:r w:rsidRPr="009D6C95">
        <w:rPr>
          <w:b/>
        </w:rPr>
        <w:t>Based on the information presented in the module about prejudice feelings, why should some people have a difficult time believing that African</w:t>
      </w:r>
      <w:r w:rsidR="003C6A13">
        <w:rPr>
          <w:b/>
        </w:rPr>
        <w:t xml:space="preserve"> </w:t>
      </w:r>
      <w:r w:rsidRPr="009D6C95">
        <w:rPr>
          <w:b/>
        </w:rPr>
        <w:t>American students and Caucasian students can achieve at equal levels?</w:t>
      </w:r>
    </w:p>
    <w:p w:rsidR="009F070F" w:rsidRPr="00C70BF4" w:rsidRDefault="009F070F" w:rsidP="009F070F">
      <w:pPr>
        <w:ind w:left="720"/>
      </w:pPr>
      <w:r w:rsidRPr="009D6C95">
        <w:rPr>
          <w:i/>
        </w:rPr>
        <w:t>Confirmation bias</w:t>
      </w:r>
      <w:r w:rsidRPr="00C70BF4">
        <w:rPr>
          <w:u w:val="single"/>
        </w:rPr>
        <w:t xml:space="preserve"> </w:t>
      </w:r>
      <w:r w:rsidRPr="00C70BF4">
        <w:t>would only let them pay attention to information about differences and not information about similarities. In addition, even with contradictory evidence</w:t>
      </w:r>
      <w:r w:rsidR="00BF7B6E">
        <w:t>,</w:t>
      </w:r>
      <w:r w:rsidRPr="00C70BF4">
        <w:t xml:space="preserve"> people are likely to hold onto their beliefs know</w:t>
      </w:r>
      <w:r>
        <w:t>n</w:t>
      </w:r>
      <w:r w:rsidRPr="00C70BF4">
        <w:t xml:space="preserve"> as </w:t>
      </w:r>
      <w:r w:rsidRPr="009D6C95">
        <w:rPr>
          <w:i/>
        </w:rPr>
        <w:t>belief perseverance.</w:t>
      </w:r>
    </w:p>
    <w:p w:rsidR="009F070F" w:rsidRDefault="009F070F" w:rsidP="009F070F">
      <w:pPr>
        <w:ind w:left="360"/>
      </w:pPr>
    </w:p>
    <w:p w:rsidR="009F070F" w:rsidRPr="00BA72F4" w:rsidRDefault="009F070F" w:rsidP="009D6C95">
      <w:pPr>
        <w:pStyle w:val="ListParagraph"/>
        <w:numPr>
          <w:ilvl w:val="0"/>
          <w:numId w:val="2"/>
        </w:numPr>
      </w:pPr>
      <w:r w:rsidRPr="009D6C95">
        <w:rPr>
          <w:b/>
        </w:rPr>
        <w:lastRenderedPageBreak/>
        <w:t>If the study had been done with K</w:t>
      </w:r>
      <w:r w:rsidR="00C52EFB">
        <w:rPr>
          <w:b/>
        </w:rPr>
        <w:t>–</w:t>
      </w:r>
      <w:r w:rsidRPr="009D6C95">
        <w:rPr>
          <w:b/>
        </w:rPr>
        <w:t>12 students in various school districts assessing their GPA from official records over several years, how would this alter the way the results might be interpreted?</w:t>
      </w:r>
    </w:p>
    <w:p w:rsidR="009F070F" w:rsidRPr="00C70BF4" w:rsidRDefault="009F070F" w:rsidP="009F070F">
      <w:pPr>
        <w:ind w:left="720"/>
      </w:pPr>
      <w:r w:rsidRPr="00C70BF4">
        <w:t>The sample would allow generalization to K</w:t>
      </w:r>
      <w:r w:rsidR="00B13EBA">
        <w:t>–</w:t>
      </w:r>
      <w:r w:rsidRPr="00C70BF4">
        <w:t xml:space="preserve">12 students, not college students. Also, self-report bias would not be an issue. The </w:t>
      </w:r>
      <w:r w:rsidRPr="009D6C95">
        <w:rPr>
          <w:i/>
        </w:rPr>
        <w:t>inference could be stronger</w:t>
      </w:r>
      <w:r w:rsidRPr="00C70BF4">
        <w:t>, but other variables (</w:t>
      </w:r>
      <w:r w:rsidRPr="009D6C95">
        <w:rPr>
          <w:i/>
        </w:rPr>
        <w:t xml:space="preserve">SES) would still be uncontrolled </w:t>
      </w:r>
      <w:r w:rsidRPr="00C70BF4">
        <w:t>in the study.</w:t>
      </w:r>
    </w:p>
    <w:p w:rsidR="006952B2" w:rsidRDefault="006952B2"/>
    <w:sectPr w:rsidR="006952B2" w:rsidSect="00C70B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49" w:rsidRDefault="003A2149" w:rsidP="002E491C">
      <w:r>
        <w:separator/>
      </w:r>
    </w:p>
  </w:endnote>
  <w:endnote w:type="continuationSeparator" w:id="0">
    <w:p w:rsidR="003A2149" w:rsidRDefault="003A2149" w:rsidP="002E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49" w:rsidRDefault="003A2149" w:rsidP="002E491C">
      <w:r>
        <w:separator/>
      </w:r>
    </w:p>
  </w:footnote>
  <w:footnote w:type="continuationSeparator" w:id="0">
    <w:p w:rsidR="003A2149" w:rsidRDefault="003A2149" w:rsidP="002E4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3E" w:rsidRPr="008F1F3E" w:rsidRDefault="008F1F3E" w:rsidP="008F1F3E">
    <w:pPr>
      <w:pStyle w:val="NormalWeb"/>
      <w:shd w:val="clear" w:color="auto" w:fill="FFFFFF"/>
      <w:jc w:val="right"/>
      <w:rPr>
        <w:rFonts w:asciiTheme="minorHAnsi" w:hAnsiTheme="minorHAnsi" w:cs="Segoe UI"/>
        <w:color w:val="000000"/>
      </w:rPr>
    </w:pPr>
    <w:r w:rsidRPr="008F1F3E">
      <w:rPr>
        <w:rFonts w:asciiTheme="minorHAnsi" w:hAnsiTheme="minorHAnsi" w:cs="Segoe UI"/>
        <w:color w:val="000000"/>
      </w:rPr>
      <w:t>Durwin, </w:t>
    </w:r>
    <w:r w:rsidRPr="008F1F3E">
      <w:rPr>
        <w:rFonts w:asciiTheme="minorHAnsi" w:hAnsiTheme="minorHAnsi" w:cs="Segoe UI"/>
        <w:i/>
        <w:iCs/>
        <w:color w:val="000000"/>
      </w:rPr>
      <w:t>EdPsych Modules 3e</w:t>
    </w:r>
  </w:p>
  <w:p w:rsidR="002E491C" w:rsidRPr="008F1F3E" w:rsidRDefault="008F1F3E" w:rsidP="008F1F3E">
    <w:pPr>
      <w:pStyle w:val="NormalWeb"/>
      <w:jc w:val="right"/>
      <w:rPr>
        <w:rFonts w:asciiTheme="minorHAnsi" w:hAnsiTheme="minorHAnsi" w:cs="Segoe UI"/>
        <w:i/>
        <w:iCs/>
        <w:color w:val="000000"/>
        <w:shd w:val="clear" w:color="auto" w:fill="FFFFFF"/>
      </w:rPr>
    </w:pPr>
    <w:r w:rsidRPr="008F1F3E">
      <w:rPr>
        <w:rFonts w:asciiTheme="minorHAnsi" w:hAnsiTheme="minorHAnsi" w:cs="Segoe UI"/>
        <w:i/>
        <w:iCs/>
        <w:color w:val="000000"/>
        <w:shd w:val="clear" w:color="auto" w:fill="FFFFFF"/>
      </w:rPr>
      <w:t>SAGE Publishing,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239A1"/>
    <w:multiLevelType w:val="hybridMultilevel"/>
    <w:tmpl w:val="EF52C8D4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3C040A"/>
    <w:multiLevelType w:val="hybridMultilevel"/>
    <w:tmpl w:val="8E469DEA"/>
    <w:lvl w:ilvl="0" w:tplc="9176C52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0F"/>
    <w:rsid w:val="000143BA"/>
    <w:rsid w:val="00064FB1"/>
    <w:rsid w:val="000E429D"/>
    <w:rsid w:val="001469E9"/>
    <w:rsid w:val="00155C42"/>
    <w:rsid w:val="001C006B"/>
    <w:rsid w:val="00276C98"/>
    <w:rsid w:val="002D362B"/>
    <w:rsid w:val="002E491C"/>
    <w:rsid w:val="003A2149"/>
    <w:rsid w:val="003C6A13"/>
    <w:rsid w:val="003E1D70"/>
    <w:rsid w:val="004414E9"/>
    <w:rsid w:val="00471194"/>
    <w:rsid w:val="0066054B"/>
    <w:rsid w:val="006952B2"/>
    <w:rsid w:val="006D1711"/>
    <w:rsid w:val="006F60DA"/>
    <w:rsid w:val="007074A6"/>
    <w:rsid w:val="007218CF"/>
    <w:rsid w:val="008F1F3E"/>
    <w:rsid w:val="008F29BD"/>
    <w:rsid w:val="009D6C95"/>
    <w:rsid w:val="009F070F"/>
    <w:rsid w:val="00B13EBA"/>
    <w:rsid w:val="00B75B4E"/>
    <w:rsid w:val="00BF7B6E"/>
    <w:rsid w:val="00C11C0A"/>
    <w:rsid w:val="00C52EFB"/>
    <w:rsid w:val="00CB1CBF"/>
    <w:rsid w:val="00CE681E"/>
    <w:rsid w:val="00D30726"/>
    <w:rsid w:val="00F3623B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23DD2-4508-44C3-9DAE-8C799A4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D70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E1D7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E4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9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91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1F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F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F1F3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0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4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Hollingsworth</dc:creator>
  <cp:keywords/>
  <dc:description/>
  <cp:lastModifiedBy>Prakash Balasubramanian</cp:lastModifiedBy>
  <cp:revision>28</cp:revision>
  <dcterms:created xsi:type="dcterms:W3CDTF">2017-09-19T15:17:00Z</dcterms:created>
  <dcterms:modified xsi:type="dcterms:W3CDTF">2017-11-29T15:55:00Z</dcterms:modified>
</cp:coreProperties>
</file>