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F" w:rsidRPr="00686C6B" w:rsidRDefault="00821A39" w:rsidP="00821A39">
      <w:pPr>
        <w:pStyle w:val="Title"/>
      </w:pPr>
      <w:r>
        <w:t>Class Activities</w:t>
      </w:r>
    </w:p>
    <w:p w:rsidR="00691B9F" w:rsidRDefault="00F609E2" w:rsidP="00821A39">
      <w:pPr>
        <w:pStyle w:val="Heading1"/>
      </w:pPr>
      <w:r w:rsidRPr="006A25D7">
        <w:t>Chapter 2</w:t>
      </w:r>
      <w:r>
        <w:t>:</w:t>
      </w:r>
      <w:r w:rsidRPr="006A25D7">
        <w:t xml:space="preserve"> </w:t>
      </w:r>
      <w:r w:rsidR="00821A39">
        <w:t>Neuroscience Approaches to Understanding Psychopathology</w:t>
      </w:r>
      <w:bookmarkStart w:id="0" w:name="_GoBack"/>
      <w:bookmarkEnd w:id="0"/>
    </w:p>
    <w:p w:rsidR="00821A39" w:rsidRDefault="00821A39"/>
    <w:p w:rsidR="007D6924" w:rsidRDefault="007D6924">
      <w:r>
        <w:t xml:space="preserve">1. Break students into groups of about 5 students.  Assign each group a specific brain imaging technique: </w:t>
      </w:r>
      <w:r>
        <w:rPr>
          <w:rFonts w:ascii="Arial" w:hAnsi="Arial"/>
        </w:rPr>
        <w:t>EEG, MEG, PET, fMRI, and DTI</w:t>
      </w:r>
      <w:r>
        <w:t xml:space="preserve">.  Each group then generates 5 multiple choice questions specific to their assigned brain imaging technique, with answers provided and page reference from the textbook. A delegated student is a </w:t>
      </w:r>
      <w:r w:rsidR="00980059">
        <w:t>note taker</w:t>
      </w:r>
      <w:r>
        <w:t xml:space="preserve"> and another is the spokesperson for the group.  They share their questions and the correct response.  The </w:t>
      </w:r>
      <w:r w:rsidR="00980059">
        <w:t>note taker</w:t>
      </w:r>
      <w:r>
        <w:t xml:space="preserve">, emails the completed document to the instructor, the instructor then chooses 3 of the questions to be included in an exam. Modifications and edits are at the discretion of the instructor.  All the brain imaging </w:t>
      </w:r>
      <w:r w:rsidR="00D115BB">
        <w:t xml:space="preserve">technique documents are compiled into one document and made available as a </w:t>
      </w:r>
      <w:r w:rsidR="00980059">
        <w:t>study guide</w:t>
      </w:r>
      <w:r w:rsidR="00D115BB">
        <w:t xml:space="preserve"> for the exam.</w:t>
      </w:r>
    </w:p>
    <w:p w:rsidR="004566E7" w:rsidRDefault="004566E7">
      <w:r>
        <w:t>Students learn about cooperation and planning, self-select</w:t>
      </w:r>
      <w:r w:rsidR="0024472B">
        <w:t>ed</w:t>
      </w:r>
      <w:r>
        <w:t xml:space="preserve"> key concepts, communication</w:t>
      </w:r>
    </w:p>
    <w:p w:rsidR="007D6924" w:rsidRDefault="007D6924">
      <w:r>
        <w:t xml:space="preserve">2. </w:t>
      </w:r>
      <w:r w:rsidR="0024472B">
        <w:t>In groups of 5</w:t>
      </w:r>
      <w:r w:rsidR="002E389C">
        <w:t xml:space="preserve"> students, they are to choose a topic related to Neurocognitive or neuronal functioning.  They are </w:t>
      </w:r>
      <w:r w:rsidR="00732F59">
        <w:t xml:space="preserve">to produce </w:t>
      </w:r>
      <w:r w:rsidR="002E389C">
        <w:t>an art, literary piece, novella, poetic</w:t>
      </w:r>
      <w:r w:rsidR="00732F59">
        <w:t>, hip hop, lyric, musical piece</w:t>
      </w:r>
      <w:r w:rsidR="00980059">
        <w:t>, drawing</w:t>
      </w:r>
      <w:r w:rsidR="00732F59">
        <w:t>/painting/digital piece, demonstration, or dance piece. Provide a brief summary of the key terms and the process being depicted (provide references, accordingly). The first class activity is approximately 20 minutes long involving discussion, idea generation, and developing a plan to present to the class.  They are to meet at least 2-3 times outside of class.  At later date, the groups, each present their piece 5-10 minutes to the entire class.</w:t>
      </w:r>
      <w:r w:rsidR="002C79E7">
        <w:t xml:space="preserve">  The groups can be larger given the enrollment of the class.   </w:t>
      </w:r>
    </w:p>
    <w:p w:rsidR="002C79E7" w:rsidRDefault="002C79E7">
      <w:r>
        <w:t xml:space="preserve">*Students who are so encouraged and </w:t>
      </w:r>
      <w:r w:rsidR="00980059">
        <w:t>inclined</w:t>
      </w:r>
      <w:r>
        <w:t xml:space="preserve"> with faculty supervision, could develop a symposium to be presented at an undergraduate research/creative showcase.</w:t>
      </w:r>
    </w:p>
    <w:p w:rsidR="002E389C" w:rsidRDefault="0024472B">
      <w:r>
        <w:t xml:space="preserve">The video below serves as </w:t>
      </w:r>
      <w:r w:rsidR="002E389C">
        <w:t>an inspiration</w:t>
      </w:r>
      <w:r>
        <w:t xml:space="preserve"> for the class activity</w:t>
      </w:r>
      <w:r w:rsidR="002E389C">
        <w:t xml:space="preserve">: </w:t>
      </w:r>
      <w:r w:rsidR="002E389C" w:rsidRPr="002E389C">
        <w:t>https://www.youtube.com/watch?v=sqAWLvNjFKA</w:t>
      </w:r>
    </w:p>
    <w:p w:rsidR="002E389C" w:rsidRDefault="002E389C"/>
    <w:p w:rsidR="002E389C" w:rsidRDefault="002E389C">
      <w:r>
        <w:rPr>
          <w:noProof/>
        </w:rPr>
        <w:drawing>
          <wp:inline distT="0" distB="0" distL="0" distR="0" wp14:anchorId="3C84D910" wp14:editId="553BEAF8">
            <wp:extent cx="3443168" cy="1935678"/>
            <wp:effectExtent l="0" t="0" r="508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9439" cy="196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72B" w:rsidRDefault="0024472B" w:rsidP="00F67399"/>
    <w:p w:rsidR="00F67399" w:rsidRDefault="007D6924" w:rsidP="00F67399">
      <w:r>
        <w:lastRenderedPageBreak/>
        <w:t>3.</w:t>
      </w:r>
      <w:r w:rsidR="00F67399">
        <w:t xml:space="preserve"> Have students b</w:t>
      </w:r>
      <w:r w:rsidR="009F3FF7">
        <w:t xml:space="preserve">reak into </w:t>
      </w:r>
      <w:r w:rsidR="0024472B">
        <w:t>teams</w:t>
      </w:r>
      <w:r w:rsidR="00F67399">
        <w:t xml:space="preserve"> of 7: </w:t>
      </w:r>
    </w:p>
    <w:p w:rsidR="00F67399" w:rsidRDefault="00F67399" w:rsidP="00F67399">
      <w:pPr>
        <w:ind w:firstLine="720"/>
      </w:pPr>
      <w:r>
        <w:t>Group A: 2 students to discuss the ethical issues of genetic testing</w:t>
      </w:r>
    </w:p>
    <w:p w:rsidR="00F67399" w:rsidRDefault="0024472B" w:rsidP="00F67399">
      <w:pPr>
        <w:ind w:firstLine="720"/>
      </w:pPr>
      <w:r>
        <w:t>Group B: 2 students to</w:t>
      </w:r>
      <w:r w:rsidR="00F67399">
        <w:t xml:space="preserve"> discuss the benefits of genetic testing</w:t>
      </w:r>
    </w:p>
    <w:p w:rsidR="00F67399" w:rsidRDefault="00F67399" w:rsidP="00F67399">
      <w:pPr>
        <w:ind w:firstLine="720"/>
      </w:pPr>
      <w:r>
        <w:t xml:space="preserve">Group C: 3 student judge panel: students are to take notes regarding what was presented by Group A and B, and are to provide their decision on whether genetic testing </w:t>
      </w:r>
      <w:r w:rsidR="009F3FF7">
        <w:t xml:space="preserve">of mental illness as part of a screen </w:t>
      </w:r>
      <w:r w:rsidR="0024472B">
        <w:t xml:space="preserve">is </w:t>
      </w:r>
      <w:r w:rsidR="009F3FF7">
        <w:t>conducted at birth (i.e., autism or schizophrenia).  Address how environmental factors relate to the expression of a particula</w:t>
      </w:r>
      <w:r w:rsidR="0024472B">
        <w:t>r mental illness.  Likewise,</w:t>
      </w:r>
      <w:r w:rsidR="009F3FF7">
        <w:t xml:space="preserve"> discuss preventative experiences and resiliency that speak to the non-expression of the mental illness.</w:t>
      </w:r>
    </w:p>
    <w:p w:rsidR="009F3FF7" w:rsidRDefault="009F3FF7" w:rsidP="009F3FF7"/>
    <w:p w:rsidR="00F67399" w:rsidRDefault="009F3FF7">
      <w:r>
        <w:t xml:space="preserve">When all Group C’s have completed their decisions, with noted rationale, have all Group C students gather as panel at the front of the class and present their findings and rationale.  The entire class then votes </w:t>
      </w:r>
      <w:r w:rsidR="00FD7A9D">
        <w:t>YES or NO:  Should g</w:t>
      </w:r>
      <w:r>
        <w:t>enetic testing of</w:t>
      </w:r>
      <w:r w:rsidR="00FD7A9D">
        <w:t xml:space="preserve"> mental illness become </w:t>
      </w:r>
      <w:r>
        <w:t xml:space="preserve">instituted as </w:t>
      </w:r>
      <w:r w:rsidR="00FD7A9D">
        <w:t xml:space="preserve">a </w:t>
      </w:r>
      <w:r>
        <w:t xml:space="preserve">regular </w:t>
      </w:r>
      <w:r w:rsidR="00FD7A9D">
        <w:t xml:space="preserve">screen conducted at </w:t>
      </w:r>
      <w:r>
        <w:t>birth</w:t>
      </w:r>
      <w:r w:rsidR="00FD7A9D">
        <w:t>.</w:t>
      </w:r>
    </w:p>
    <w:p w:rsidR="006114F3" w:rsidRDefault="00F67399">
      <w:r>
        <w:t>Review the following article regarding genetic testing and ethics by Dr. Best</w:t>
      </w:r>
      <w:r w:rsidR="0024472B">
        <w:t xml:space="preserve">erman which provides a </w:t>
      </w:r>
      <w:r>
        <w:t>summary of Dr. Hoop’s article “Ethical considerations in psychiatric genetics”.</w:t>
      </w:r>
    </w:p>
    <w:p w:rsidR="00F67399" w:rsidRDefault="00F67399" w:rsidP="00FD7A9D">
      <w:pPr>
        <w:pStyle w:val="ListParagraph"/>
        <w:numPr>
          <w:ilvl w:val="0"/>
          <w:numId w:val="1"/>
        </w:numPr>
      </w:pPr>
      <w:r>
        <w:t>The Ethics of Genetic Testing in Psychiatry</w:t>
      </w:r>
    </w:p>
    <w:p w:rsidR="00F67399" w:rsidRDefault="00F67399" w:rsidP="00FD7A9D">
      <w:pPr>
        <w:pStyle w:val="ListParagraph"/>
        <w:numPr>
          <w:ilvl w:val="0"/>
          <w:numId w:val="1"/>
        </w:numPr>
      </w:pPr>
      <w:r>
        <w:t>A discussion of ethics concerns in psychiatric genetics focusing on predictive genetic testing, psychosocial consequences for patients, effects on family and communities, and the ethics of some emerging technologies.</w:t>
      </w:r>
      <w:r w:rsidR="00FD7A9D">
        <w:t xml:space="preserve"> ~ </w:t>
      </w:r>
      <w:r>
        <w:t>Aaron D. Besterman, MD</w:t>
      </w:r>
    </w:p>
    <w:p w:rsidR="00F67399" w:rsidRDefault="00821A39" w:rsidP="00FD7A9D">
      <w:pPr>
        <w:pStyle w:val="ListParagraph"/>
        <w:numPr>
          <w:ilvl w:val="0"/>
          <w:numId w:val="1"/>
        </w:numPr>
      </w:pPr>
      <w:hyperlink r:id="rId9" w:history="1">
        <w:r w:rsidR="00F67399" w:rsidRPr="00E074D6">
          <w:rPr>
            <w:rStyle w:val="Hyperlink"/>
          </w:rPr>
          <w:t>http://journalofethics.ama-assn.org/2012/06/jdsc1-1206.html</w:t>
        </w:r>
      </w:hyperlink>
    </w:p>
    <w:p w:rsidR="00F67399" w:rsidRDefault="00F67399" w:rsidP="00FD7A9D">
      <w:pPr>
        <w:pStyle w:val="ListParagraph"/>
        <w:numPr>
          <w:ilvl w:val="0"/>
          <w:numId w:val="1"/>
        </w:numPr>
      </w:pPr>
      <w:r>
        <w:t xml:space="preserve">Hoop JG. Ethical considerations in psychiatric genetics. </w:t>
      </w:r>
      <w:r w:rsidRPr="00FD7A9D">
        <w:rPr>
          <w:i/>
          <w:iCs/>
        </w:rPr>
        <w:t>Harv Rev Psychiatry</w:t>
      </w:r>
      <w:r>
        <w:t>. 2008;16(6):322-338.</w:t>
      </w:r>
    </w:p>
    <w:p w:rsidR="00F67399" w:rsidRDefault="00F67399"/>
    <w:p w:rsidR="007D6924" w:rsidRDefault="007D6924"/>
    <w:sectPr w:rsidR="007D6924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39" w:rsidRDefault="00821A39" w:rsidP="00821A39">
      <w:pPr>
        <w:spacing w:after="0" w:line="240" w:lineRule="auto"/>
      </w:pPr>
      <w:r>
        <w:separator/>
      </w:r>
    </w:p>
  </w:endnote>
  <w:endnote w:type="continuationSeparator" w:id="0">
    <w:p w:rsidR="00821A39" w:rsidRDefault="00821A39" w:rsidP="00821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39" w:rsidRDefault="00821A39" w:rsidP="00821A39">
      <w:pPr>
        <w:spacing w:after="0" w:line="240" w:lineRule="auto"/>
      </w:pPr>
      <w:r>
        <w:separator/>
      </w:r>
    </w:p>
  </w:footnote>
  <w:footnote w:type="continuationSeparator" w:id="0">
    <w:p w:rsidR="00821A39" w:rsidRDefault="00821A39" w:rsidP="00821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A39" w:rsidRDefault="00821A39" w:rsidP="00821A39">
    <w:pPr>
      <w:pStyle w:val="Header"/>
      <w:jc w:val="right"/>
    </w:pPr>
    <w:r>
      <w:t>Instructor Resource</w:t>
    </w:r>
  </w:p>
  <w:p w:rsidR="00821A39" w:rsidRDefault="00821A39" w:rsidP="00821A39">
    <w:pPr>
      <w:pStyle w:val="Header"/>
      <w:jc w:val="right"/>
    </w:pPr>
    <w:r>
      <w:t xml:space="preserve">Ray, </w:t>
    </w:r>
    <w:r>
      <w:rPr>
        <w:i/>
      </w:rPr>
      <w:t>Abnormal Psychology 2e</w:t>
    </w:r>
  </w:p>
  <w:p w:rsidR="00821A39" w:rsidRDefault="00821A39" w:rsidP="00821A39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5E5D"/>
    <w:multiLevelType w:val="hybridMultilevel"/>
    <w:tmpl w:val="A8BEFC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20C9994-9B80-4AD6-B066-1D994CBD4955}"/>
    <w:docVar w:name="dgnword-eventsink" w:val="105420776"/>
  </w:docVars>
  <w:rsids>
    <w:rsidRoot w:val="00691B9F"/>
    <w:rsid w:val="0024472B"/>
    <w:rsid w:val="002C79E7"/>
    <w:rsid w:val="002E389C"/>
    <w:rsid w:val="00416EA3"/>
    <w:rsid w:val="004566E7"/>
    <w:rsid w:val="004D67E7"/>
    <w:rsid w:val="006114F3"/>
    <w:rsid w:val="00691B9F"/>
    <w:rsid w:val="006E62BC"/>
    <w:rsid w:val="00732F59"/>
    <w:rsid w:val="007D6924"/>
    <w:rsid w:val="00821A39"/>
    <w:rsid w:val="008E5061"/>
    <w:rsid w:val="00980059"/>
    <w:rsid w:val="009F3FF7"/>
    <w:rsid w:val="00A87605"/>
    <w:rsid w:val="00D115BB"/>
    <w:rsid w:val="00F609E2"/>
    <w:rsid w:val="00F67399"/>
    <w:rsid w:val="00FD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821A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739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7A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A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A39"/>
  </w:style>
  <w:style w:type="paragraph" w:styleId="Footer">
    <w:name w:val="footer"/>
    <w:basedOn w:val="Normal"/>
    <w:link w:val="FooterChar"/>
    <w:uiPriority w:val="99"/>
    <w:unhideWhenUsed/>
    <w:rsid w:val="0082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A39"/>
  </w:style>
  <w:style w:type="paragraph" w:styleId="Title">
    <w:name w:val="Title"/>
    <w:basedOn w:val="Normal"/>
    <w:next w:val="Normal"/>
    <w:link w:val="TitleChar"/>
    <w:uiPriority w:val="10"/>
    <w:qFormat/>
    <w:rsid w:val="00821A3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1A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21A3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9F"/>
  </w:style>
  <w:style w:type="paragraph" w:styleId="Heading1">
    <w:name w:val="heading 1"/>
    <w:basedOn w:val="Normal"/>
    <w:next w:val="Normal"/>
    <w:link w:val="Heading1Char"/>
    <w:uiPriority w:val="9"/>
    <w:qFormat/>
    <w:rsid w:val="00821A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739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7A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A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A39"/>
  </w:style>
  <w:style w:type="paragraph" w:styleId="Footer">
    <w:name w:val="footer"/>
    <w:basedOn w:val="Normal"/>
    <w:link w:val="FooterChar"/>
    <w:uiPriority w:val="99"/>
    <w:unhideWhenUsed/>
    <w:rsid w:val="00821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A39"/>
  </w:style>
  <w:style w:type="paragraph" w:styleId="Title">
    <w:name w:val="Title"/>
    <w:basedOn w:val="Normal"/>
    <w:next w:val="Normal"/>
    <w:link w:val="TitleChar"/>
    <w:uiPriority w:val="10"/>
    <w:qFormat/>
    <w:rsid w:val="00821A3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1A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21A3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1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ournalofethics.ama-assn.org/2012/06/jdsc1-120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Skillman, Gemma</dc:creator>
  <cp:keywords/>
  <dc:description/>
  <cp:lastModifiedBy>Palermini, Stephanie</cp:lastModifiedBy>
  <cp:revision>12</cp:revision>
  <cp:lastPrinted>2017-01-26T23:04:00Z</cp:lastPrinted>
  <dcterms:created xsi:type="dcterms:W3CDTF">2016-12-20T17:09:00Z</dcterms:created>
  <dcterms:modified xsi:type="dcterms:W3CDTF">2017-03-22T00:02:00Z</dcterms:modified>
</cp:coreProperties>
</file>