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93A" w:rsidRPr="00EF7623" w:rsidRDefault="0093593A" w:rsidP="0093593A">
      <w:pPr>
        <w:spacing w:after="0" w:line="240" w:lineRule="auto"/>
        <w:jc w:val="center"/>
        <w:rPr>
          <w:b/>
          <w:color w:val="A01F31"/>
          <w:sz w:val="24"/>
          <w:szCs w:val="24"/>
        </w:rPr>
      </w:pPr>
      <w:r w:rsidRPr="00EF7623">
        <w:rPr>
          <w:b/>
          <w:color w:val="A01F31"/>
          <w:sz w:val="24"/>
          <w:szCs w:val="24"/>
        </w:rPr>
        <w:t>Questi</w:t>
      </w:r>
      <w:bookmarkStart w:id="0" w:name="_GoBack"/>
      <w:bookmarkEnd w:id="0"/>
      <w:r w:rsidRPr="00EF7623">
        <w:rPr>
          <w:b/>
          <w:color w:val="A01F31"/>
          <w:sz w:val="24"/>
          <w:szCs w:val="24"/>
        </w:rPr>
        <w:t>ons to Consider</w:t>
      </w:r>
    </w:p>
    <w:p w:rsidR="0093593A" w:rsidRPr="0093593A" w:rsidRDefault="0093593A" w:rsidP="0093593A">
      <w:pPr>
        <w:spacing w:after="0" w:line="240" w:lineRule="auto"/>
        <w:jc w:val="center"/>
        <w:rPr>
          <w:color w:val="A01F31"/>
          <w:sz w:val="24"/>
          <w:szCs w:val="24"/>
        </w:rPr>
      </w:pPr>
      <w:r w:rsidRPr="0093593A">
        <w:rPr>
          <w:color w:val="A01F31"/>
          <w:sz w:val="24"/>
          <w:szCs w:val="24"/>
        </w:rPr>
        <w:t>Chapter 2:</w:t>
      </w:r>
      <w:r w:rsidRPr="0093593A">
        <w:rPr>
          <w:sz w:val="24"/>
          <w:szCs w:val="24"/>
        </w:rPr>
        <w:t xml:space="preserve"> </w:t>
      </w:r>
      <w:r w:rsidRPr="0093593A">
        <w:rPr>
          <w:color w:val="A01F31"/>
          <w:sz w:val="24"/>
          <w:szCs w:val="24"/>
        </w:rPr>
        <w:t xml:space="preserve">Cognitive Neuroscience </w:t>
      </w:r>
    </w:p>
    <w:p w:rsidR="0093593A" w:rsidRPr="0093593A" w:rsidRDefault="0093593A" w:rsidP="0093593A">
      <w:pPr>
        <w:pStyle w:val="Default"/>
        <w:rPr>
          <w:rFonts w:asciiTheme="minorHAnsi" w:hAnsiTheme="minorHAnsi"/>
        </w:rPr>
      </w:pPr>
    </w:p>
    <w:p w:rsidR="0093593A" w:rsidRPr="0093593A" w:rsidRDefault="0093593A" w:rsidP="0093593A">
      <w:pPr>
        <w:pStyle w:val="Default"/>
        <w:numPr>
          <w:ilvl w:val="0"/>
          <w:numId w:val="2"/>
        </w:numPr>
        <w:rPr>
          <w:rFonts w:asciiTheme="minorHAnsi" w:hAnsiTheme="minorHAnsi"/>
          <w:b/>
          <w:color w:val="211D1E"/>
        </w:rPr>
      </w:pPr>
      <w:r w:rsidRPr="0093593A">
        <w:rPr>
          <w:rFonts w:asciiTheme="minorHAnsi" w:hAnsiTheme="minorHAnsi"/>
          <w:b/>
          <w:color w:val="211D1E"/>
        </w:rPr>
        <w:t>How is the examination of brain activity involved in the study of cognition?</w:t>
      </w:r>
    </w:p>
    <w:p w:rsidR="0093593A" w:rsidRPr="0093593A" w:rsidRDefault="0093593A" w:rsidP="0093593A">
      <w:pPr>
        <w:pStyle w:val="Default"/>
        <w:ind w:left="720"/>
        <w:rPr>
          <w:rFonts w:asciiTheme="minorHAnsi" w:hAnsiTheme="minorHAnsi" w:cstheme="minorBidi"/>
          <w:color w:val="211D1E"/>
        </w:rPr>
      </w:pPr>
      <w:r w:rsidRPr="0093593A">
        <w:rPr>
          <w:rFonts w:asciiTheme="minorHAnsi" w:hAnsiTheme="minorHAnsi" w:cstheme="minorBidi"/>
          <w:color w:val="211D1E"/>
        </w:rPr>
        <w:t>A number of brain activity recording techniques are used by cognitive neuroscientists to better under</w:t>
      </w:r>
      <w:r w:rsidRPr="0093593A">
        <w:rPr>
          <w:rFonts w:asciiTheme="minorHAnsi" w:hAnsiTheme="minorHAnsi" w:cstheme="minorBidi"/>
          <w:color w:val="211D1E"/>
        </w:rPr>
        <w:softHyphen/>
        <w:t>stand how brain activity is tied to cognition. All rely in some way on neuron activity, with some (single-cell recordings, EEG) measuring the electrical sig</w:t>
      </w:r>
      <w:r w:rsidRPr="0093593A">
        <w:rPr>
          <w:rFonts w:asciiTheme="minorHAnsi" w:hAnsiTheme="minorHAnsi" w:cstheme="minorBidi"/>
          <w:color w:val="211D1E"/>
        </w:rPr>
        <w:softHyphen/>
        <w:t>nals from neurons and others (PET, fMRI) recording images of neuron activity in larger areas of the brain.</w:t>
      </w:r>
    </w:p>
    <w:p w:rsidR="0093593A" w:rsidRPr="0093593A" w:rsidRDefault="0093593A" w:rsidP="0093593A">
      <w:pPr>
        <w:pStyle w:val="Default"/>
        <w:ind w:left="720"/>
        <w:rPr>
          <w:rFonts w:asciiTheme="minorHAnsi" w:hAnsiTheme="minorHAnsi"/>
          <w:color w:val="211D1E"/>
        </w:rPr>
      </w:pPr>
    </w:p>
    <w:p w:rsidR="0093593A" w:rsidRPr="0093593A" w:rsidRDefault="0093593A" w:rsidP="0093593A">
      <w:pPr>
        <w:pStyle w:val="Default"/>
        <w:numPr>
          <w:ilvl w:val="0"/>
          <w:numId w:val="1"/>
        </w:numPr>
        <w:ind w:left="720" w:hanging="360"/>
        <w:rPr>
          <w:rFonts w:asciiTheme="minorHAnsi" w:hAnsiTheme="minorHAnsi"/>
          <w:b/>
          <w:color w:val="211D1E"/>
        </w:rPr>
      </w:pPr>
      <w:r w:rsidRPr="0093593A">
        <w:rPr>
          <w:rFonts w:asciiTheme="minorHAnsi" w:hAnsiTheme="minorHAnsi"/>
          <w:b/>
          <w:color w:val="211D1E"/>
        </w:rPr>
        <w:t>How do case studies of individuals with cognitive deficits inform us about the connection between cognition and brain function?</w:t>
      </w:r>
    </w:p>
    <w:p w:rsidR="0093593A" w:rsidRPr="0093593A" w:rsidRDefault="0093593A" w:rsidP="0093593A">
      <w:pPr>
        <w:pStyle w:val="Default"/>
        <w:ind w:left="720"/>
        <w:rPr>
          <w:rFonts w:asciiTheme="minorHAnsi" w:hAnsiTheme="minorHAnsi" w:cs="Minion Pro"/>
        </w:rPr>
      </w:pPr>
      <w:r w:rsidRPr="0093593A">
        <w:rPr>
          <w:rFonts w:asciiTheme="minorHAnsi" w:hAnsiTheme="minorHAnsi" w:cstheme="minorBidi"/>
          <w:color w:val="211D1E"/>
        </w:rPr>
        <w:t>Individuals who have suffered a brain lesion can help us connect cognitive deficits to specific areas of the brain. By examining the area(s) of the lesion and which cognitive deficits the individuals have, researchers can make hypotheses about the primary function of different areas of the brain. Much of the early knowledge of localization of function in the brain came from such clinical case studies.</w:t>
      </w:r>
    </w:p>
    <w:p w:rsidR="0093593A" w:rsidRPr="0093593A" w:rsidRDefault="0093593A" w:rsidP="0093593A">
      <w:pPr>
        <w:pStyle w:val="Default"/>
        <w:rPr>
          <w:rFonts w:asciiTheme="minorHAnsi" w:hAnsiTheme="minorHAnsi"/>
          <w:color w:val="211D1E"/>
        </w:rPr>
      </w:pPr>
    </w:p>
    <w:p w:rsidR="0093593A" w:rsidRPr="0093593A" w:rsidRDefault="0093593A" w:rsidP="0093593A">
      <w:pPr>
        <w:pStyle w:val="Default"/>
        <w:numPr>
          <w:ilvl w:val="0"/>
          <w:numId w:val="1"/>
        </w:numPr>
        <w:ind w:left="720" w:hanging="360"/>
        <w:rPr>
          <w:rFonts w:asciiTheme="minorHAnsi" w:hAnsiTheme="minorHAnsi"/>
          <w:b/>
          <w:color w:val="211D1E"/>
        </w:rPr>
      </w:pPr>
      <w:r w:rsidRPr="0093593A">
        <w:rPr>
          <w:rFonts w:asciiTheme="minorHAnsi" w:hAnsiTheme="minorHAnsi"/>
          <w:b/>
          <w:color w:val="211D1E"/>
        </w:rPr>
        <w:t>What can be learned about cognition through measurements of neuron activity in the brain?</w:t>
      </w:r>
    </w:p>
    <w:p w:rsidR="0093593A" w:rsidRPr="0093593A" w:rsidRDefault="0093593A" w:rsidP="0093593A">
      <w:pPr>
        <w:pStyle w:val="Default"/>
        <w:ind w:left="720"/>
        <w:rPr>
          <w:rFonts w:asciiTheme="minorHAnsi" w:hAnsiTheme="minorHAnsi"/>
          <w:b/>
          <w:color w:val="211D1E"/>
        </w:rPr>
      </w:pPr>
      <w:r w:rsidRPr="0093593A">
        <w:rPr>
          <w:rFonts w:asciiTheme="minorHAnsi" w:hAnsiTheme="minorHAnsi" w:cstheme="minorBidi"/>
          <w:color w:val="211D1E"/>
        </w:rPr>
        <w:t>Like clinical case studies, researchers can connect specific brain areas with cognitive abilities. However, measurements of brain activity also allow researchers to provide better tests of hypotheses about brain function because experiments can be conducted with brain activity as the dependent measures.</w:t>
      </w:r>
    </w:p>
    <w:p w:rsidR="0093593A" w:rsidRPr="0093593A" w:rsidRDefault="0093593A" w:rsidP="0093593A">
      <w:pPr>
        <w:pStyle w:val="Default"/>
        <w:rPr>
          <w:rFonts w:asciiTheme="minorHAnsi" w:hAnsiTheme="minorHAnsi"/>
          <w:color w:val="211D1E"/>
        </w:rPr>
      </w:pPr>
    </w:p>
    <w:p w:rsidR="0093593A" w:rsidRPr="0093593A" w:rsidRDefault="0093593A" w:rsidP="0093593A">
      <w:pPr>
        <w:pStyle w:val="Default"/>
        <w:numPr>
          <w:ilvl w:val="0"/>
          <w:numId w:val="1"/>
        </w:numPr>
        <w:ind w:left="720" w:hanging="360"/>
        <w:rPr>
          <w:rFonts w:asciiTheme="minorHAnsi" w:hAnsiTheme="minorHAnsi"/>
          <w:b/>
          <w:color w:val="211D1E"/>
        </w:rPr>
      </w:pPr>
      <w:r w:rsidRPr="0093593A">
        <w:rPr>
          <w:rFonts w:asciiTheme="minorHAnsi" w:hAnsiTheme="minorHAnsi"/>
          <w:b/>
          <w:color w:val="211D1E"/>
        </w:rPr>
        <w:t>Can all behavior be explained in terms of brain activity?</w:t>
      </w:r>
    </w:p>
    <w:p w:rsidR="008800FB" w:rsidRPr="0093593A" w:rsidRDefault="0093593A" w:rsidP="0093593A">
      <w:pPr>
        <w:ind w:left="720"/>
        <w:rPr>
          <w:sz w:val="24"/>
          <w:szCs w:val="24"/>
        </w:rPr>
      </w:pPr>
      <w:r w:rsidRPr="0093593A">
        <w:rPr>
          <w:color w:val="211D1E"/>
          <w:sz w:val="24"/>
          <w:szCs w:val="24"/>
        </w:rPr>
        <w:t>Some studies suggest that it can, at least for simple behaviors. However, the answer to this question is not yet known.</w:t>
      </w:r>
    </w:p>
    <w:p w:rsidR="0093593A" w:rsidRPr="0093593A" w:rsidRDefault="0093593A" w:rsidP="0093593A">
      <w:pPr>
        <w:rPr>
          <w:sz w:val="24"/>
          <w:szCs w:val="24"/>
        </w:rPr>
      </w:pPr>
    </w:p>
    <w:sectPr w:rsidR="0093593A" w:rsidRPr="0093593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B1C" w:rsidRDefault="00BF4B1C" w:rsidP="00BF4B1C">
      <w:pPr>
        <w:spacing w:after="0" w:line="240" w:lineRule="auto"/>
      </w:pPr>
      <w:r>
        <w:separator/>
      </w:r>
    </w:p>
  </w:endnote>
  <w:endnote w:type="continuationSeparator" w:id="0">
    <w:p w:rsidR="00BF4B1C" w:rsidRDefault="00BF4B1C" w:rsidP="00BF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erthold Akzidenz Grotesk">
    <w:altName w:val="Berthold Akzidenz Grotesk"/>
    <w:panose1 w:val="00000000000000000000"/>
    <w:charset w:val="00"/>
    <w:family w:val="swiss"/>
    <w:notTrueType/>
    <w:pitch w:val="default"/>
    <w:sig w:usb0="00000003" w:usb1="00000000" w:usb2="00000000" w:usb3="00000000" w:csb0="00000001"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B1C" w:rsidRDefault="00BF4B1C" w:rsidP="00BF4B1C">
      <w:pPr>
        <w:spacing w:after="0" w:line="240" w:lineRule="auto"/>
      </w:pPr>
      <w:r>
        <w:separator/>
      </w:r>
    </w:p>
  </w:footnote>
  <w:footnote w:type="continuationSeparator" w:id="0">
    <w:p w:rsidR="00BF4B1C" w:rsidRDefault="00BF4B1C" w:rsidP="00BF4B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B1C" w:rsidRDefault="00BF4B1C" w:rsidP="00BF4B1C">
    <w:pPr>
      <w:pStyle w:val="Header"/>
    </w:pPr>
    <w:r>
      <w:rPr>
        <w:noProof/>
      </w:rPr>
      <mc:AlternateContent>
        <mc:Choice Requires="wps">
          <w:drawing>
            <wp:anchor distT="0" distB="0" distL="114300" distR="114300" simplePos="0" relativeHeight="251659264" behindDoc="0" locked="0" layoutInCell="0" allowOverlap="1" wp14:anchorId="5F33A383" wp14:editId="5B14BA98">
              <wp:simplePos x="0" y="0"/>
              <wp:positionH relativeFrom="page">
                <wp:posOffset>0</wp:posOffset>
              </wp:positionH>
              <wp:positionV relativeFrom="page">
                <wp:posOffset>381000</wp:posOffset>
              </wp:positionV>
              <wp:extent cx="1143000" cy="180975"/>
              <wp:effectExtent l="0" t="0" r="0"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8097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EF7623" w:rsidRPr="00EF7623">
                            <w:rPr>
                              <w:noProof/>
                              <w:color w:val="FFFFFF"/>
                              <w:sz w:val="20"/>
                            </w:rPr>
                            <w:t>1</w:t>
                          </w:r>
                          <w:r w:rsidRPr="00EA40EE">
                            <w:rPr>
                              <w:sz w:val="20"/>
                            </w:rPr>
                            <w:fldChar w:fldCharType="end"/>
                          </w:r>
                        </w:p>
                      </w:txbxContent>
                    </wps:txbx>
                    <wps:bodyPr rot="0" vert="horz" wrap="square" lIns="91440" tIns="0" rIns="91440" bIns="0" anchor="ctr" anchorCtr="0" upright="1">
                      <a:no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0pt;width:90pt;height:14.25pt;z-index:251659264;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" o:allowincell="f" fillcolor="#4f81bd" stroked="f">
              <v:textbox inset=",0,,0">
                <w:txbxContent>
                  <w:p w:rsidR="00BF4B1C" w:rsidRPr="00EA40EE" w:rsidRDefault="00BF4B1C" w:rsidP="00BF4B1C">
                    <w:pPr>
                      <w:jc w:val="right"/>
                      <w:rPr>
                        <w:color w:val="FFFFFF"/>
                        <w:sz w:val="20"/>
                      </w:rPr>
                    </w:pPr>
                    <w:r w:rsidRPr="00EA40EE">
                      <w:rPr>
                        <w:sz w:val="20"/>
                      </w:rPr>
                      <w:fldChar w:fldCharType="begin"/>
                    </w:r>
                    <w:r w:rsidRPr="00EA40EE">
                      <w:rPr>
                        <w:sz w:val="20"/>
                      </w:rPr>
                      <w:instrText xml:space="preserve"> PAGE   \* MERGEFORMAT </w:instrText>
                    </w:r>
                    <w:r w:rsidRPr="00EA40EE">
                      <w:rPr>
                        <w:sz w:val="20"/>
                      </w:rPr>
                      <w:fldChar w:fldCharType="separate"/>
                    </w:r>
                    <w:r w:rsidR="00EF7623" w:rsidRPr="00EF7623">
                      <w:rPr>
                        <w:noProof/>
                        <w:color w:val="FFFFFF"/>
                        <w:sz w:val="20"/>
                      </w:rPr>
                      <w:t>1</w:t>
                    </w:r>
                    <w:r w:rsidRPr="00EA40EE">
                      <w:rPr>
                        <w:sz w:val="20"/>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251660288" behindDoc="0" locked="0" layoutInCell="0" allowOverlap="1" wp14:anchorId="3F07D8F9" wp14:editId="2B1BA91E">
              <wp:simplePos x="0" y="0"/>
              <wp:positionH relativeFrom="page">
                <wp:posOffset>1148316</wp:posOffset>
              </wp:positionH>
              <wp:positionV relativeFrom="page">
                <wp:posOffset>393405</wp:posOffset>
              </wp:positionV>
              <wp:extent cx="6019800" cy="255181"/>
              <wp:effectExtent l="0" t="0" r="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255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2" o:spid="_x0000_s1027" type="#_x0000_t202" style="position:absolute;margin-left:90.4pt;margin-top:31pt;width:474pt;height:20.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" o:allowincell="f" filled="f" stroked="f">
              <v:textbox inset=",0,,0">
                <w:txbxContent>
                  <w:p w:rsidR="00BF4B1C" w:rsidRDefault="00BF4B1C" w:rsidP="00BF4B1C">
                    <w:pPr>
                      <w:rPr>
                        <w:sz w:val="18"/>
                      </w:rPr>
                    </w:pPr>
                    <w:r w:rsidRPr="00C97A24">
                      <w:rPr>
                        <w:sz w:val="18"/>
                      </w:rPr>
                      <w:t>McBride and Cutting,</w:t>
                    </w:r>
                    <w:r w:rsidRPr="00C97A24">
                      <w:rPr>
                        <w:i/>
                        <w:sz w:val="18"/>
                      </w:rPr>
                      <w:t xml:space="preserve"> Cognitive Psychology: Theory, Process, and Methodology                                        </w:t>
                    </w:r>
                    <w:r w:rsidRPr="00C97A24">
                      <w:rPr>
                        <w:sz w:val="18"/>
                      </w:rPr>
                      <w:t>Instructor Resources</w:t>
                    </w:r>
                  </w:p>
                  <w:p w:rsidR="00BF4B1C" w:rsidRPr="00C97A24" w:rsidRDefault="00BF4B1C" w:rsidP="00BF4B1C">
                    <w:pPr>
                      <w:jc w:val="right"/>
                      <w:rPr>
                        <w:sz w:val="18"/>
                      </w:rPr>
                    </w:pPr>
                  </w:p>
                </w:txbxContent>
              </v:textbox>
              <w10:wrap anchorx="page" anchory="page"/>
            </v:shape>
          </w:pict>
        </mc:Fallback>
      </mc:AlternateContent>
    </w:r>
  </w:p>
  <w:p w:rsidR="00BF4B1C" w:rsidRDefault="00BF4B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61881"/>
    <w:multiLevelType w:val="hybridMultilevel"/>
    <w:tmpl w:val="6CD80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BE1528"/>
    <w:multiLevelType w:val="hybridMultilevel"/>
    <w:tmpl w:val="A0C2A37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9B"/>
    <w:rsid w:val="00012088"/>
    <w:rsid w:val="00014FE1"/>
    <w:rsid w:val="00015691"/>
    <w:rsid w:val="00032085"/>
    <w:rsid w:val="00034EDF"/>
    <w:rsid w:val="00037741"/>
    <w:rsid w:val="00040EA2"/>
    <w:rsid w:val="0004389A"/>
    <w:rsid w:val="000514BA"/>
    <w:rsid w:val="000514DD"/>
    <w:rsid w:val="000601E7"/>
    <w:rsid w:val="00062B5B"/>
    <w:rsid w:val="00063AA3"/>
    <w:rsid w:val="00064E30"/>
    <w:rsid w:val="00071898"/>
    <w:rsid w:val="00080BBE"/>
    <w:rsid w:val="00081FA8"/>
    <w:rsid w:val="000977AA"/>
    <w:rsid w:val="00097949"/>
    <w:rsid w:val="000C16FB"/>
    <w:rsid w:val="000D3FAC"/>
    <w:rsid w:val="000E5778"/>
    <w:rsid w:val="000F3E5D"/>
    <w:rsid w:val="00112A5D"/>
    <w:rsid w:val="00115958"/>
    <w:rsid w:val="00122144"/>
    <w:rsid w:val="00136F5E"/>
    <w:rsid w:val="0015304A"/>
    <w:rsid w:val="00155344"/>
    <w:rsid w:val="00182CF9"/>
    <w:rsid w:val="0018412B"/>
    <w:rsid w:val="0019697E"/>
    <w:rsid w:val="001B1CB7"/>
    <w:rsid w:val="001B5E05"/>
    <w:rsid w:val="001C4B5A"/>
    <w:rsid w:val="001C58A5"/>
    <w:rsid w:val="001F2DC0"/>
    <w:rsid w:val="001F605E"/>
    <w:rsid w:val="001F6E2B"/>
    <w:rsid w:val="00205818"/>
    <w:rsid w:val="002068F3"/>
    <w:rsid w:val="00214DC7"/>
    <w:rsid w:val="00233C70"/>
    <w:rsid w:val="00236A08"/>
    <w:rsid w:val="00240B9F"/>
    <w:rsid w:val="002436C0"/>
    <w:rsid w:val="00251DBC"/>
    <w:rsid w:val="00252F32"/>
    <w:rsid w:val="0025499A"/>
    <w:rsid w:val="0026409A"/>
    <w:rsid w:val="00264C6B"/>
    <w:rsid w:val="00270D9A"/>
    <w:rsid w:val="0027170C"/>
    <w:rsid w:val="002744BC"/>
    <w:rsid w:val="00294FAF"/>
    <w:rsid w:val="002A32B5"/>
    <w:rsid w:val="002A3890"/>
    <w:rsid w:val="002A3F5A"/>
    <w:rsid w:val="002B18A8"/>
    <w:rsid w:val="002C3727"/>
    <w:rsid w:val="002C4AF3"/>
    <w:rsid w:val="002D135F"/>
    <w:rsid w:val="002D53E5"/>
    <w:rsid w:val="002D74B6"/>
    <w:rsid w:val="002E0480"/>
    <w:rsid w:val="002E39AF"/>
    <w:rsid w:val="00313DD6"/>
    <w:rsid w:val="003174D2"/>
    <w:rsid w:val="00322D03"/>
    <w:rsid w:val="003254B9"/>
    <w:rsid w:val="003360DC"/>
    <w:rsid w:val="00336FFA"/>
    <w:rsid w:val="00344483"/>
    <w:rsid w:val="00356232"/>
    <w:rsid w:val="0035787A"/>
    <w:rsid w:val="00357E10"/>
    <w:rsid w:val="00367E39"/>
    <w:rsid w:val="00370104"/>
    <w:rsid w:val="00373075"/>
    <w:rsid w:val="003758D6"/>
    <w:rsid w:val="00382546"/>
    <w:rsid w:val="0038360E"/>
    <w:rsid w:val="003A1DBD"/>
    <w:rsid w:val="003A5C18"/>
    <w:rsid w:val="003B310E"/>
    <w:rsid w:val="003D2C50"/>
    <w:rsid w:val="003E1B65"/>
    <w:rsid w:val="003E65DC"/>
    <w:rsid w:val="003F5900"/>
    <w:rsid w:val="003F5A24"/>
    <w:rsid w:val="004074C7"/>
    <w:rsid w:val="00414D18"/>
    <w:rsid w:val="00430C7E"/>
    <w:rsid w:val="00457210"/>
    <w:rsid w:val="00462081"/>
    <w:rsid w:val="0046283E"/>
    <w:rsid w:val="004755BA"/>
    <w:rsid w:val="004761CE"/>
    <w:rsid w:val="00482390"/>
    <w:rsid w:val="004826F8"/>
    <w:rsid w:val="00482BEC"/>
    <w:rsid w:val="00490A43"/>
    <w:rsid w:val="004A1831"/>
    <w:rsid w:val="004B1892"/>
    <w:rsid w:val="004B5002"/>
    <w:rsid w:val="004D3781"/>
    <w:rsid w:val="004D73BA"/>
    <w:rsid w:val="005034A0"/>
    <w:rsid w:val="00512CF9"/>
    <w:rsid w:val="0052387F"/>
    <w:rsid w:val="00530E97"/>
    <w:rsid w:val="00556EA5"/>
    <w:rsid w:val="00561E0E"/>
    <w:rsid w:val="005629DA"/>
    <w:rsid w:val="005655C6"/>
    <w:rsid w:val="00566E21"/>
    <w:rsid w:val="005717AF"/>
    <w:rsid w:val="00593BE2"/>
    <w:rsid w:val="00594A4A"/>
    <w:rsid w:val="005A2F48"/>
    <w:rsid w:val="005A2FD1"/>
    <w:rsid w:val="005A3B2E"/>
    <w:rsid w:val="005A4A15"/>
    <w:rsid w:val="005A70AA"/>
    <w:rsid w:val="005B36C4"/>
    <w:rsid w:val="005C15B8"/>
    <w:rsid w:val="005C2096"/>
    <w:rsid w:val="005D53A2"/>
    <w:rsid w:val="005E6AEE"/>
    <w:rsid w:val="005F023D"/>
    <w:rsid w:val="005F0B02"/>
    <w:rsid w:val="005F18D7"/>
    <w:rsid w:val="005F4334"/>
    <w:rsid w:val="005F5DA0"/>
    <w:rsid w:val="005F6A26"/>
    <w:rsid w:val="006002C9"/>
    <w:rsid w:val="00627B9F"/>
    <w:rsid w:val="006428F6"/>
    <w:rsid w:val="00667ECA"/>
    <w:rsid w:val="00675051"/>
    <w:rsid w:val="006820C1"/>
    <w:rsid w:val="00686428"/>
    <w:rsid w:val="00690AB0"/>
    <w:rsid w:val="006A341D"/>
    <w:rsid w:val="006A684A"/>
    <w:rsid w:val="006B259F"/>
    <w:rsid w:val="006B4946"/>
    <w:rsid w:val="006C6057"/>
    <w:rsid w:val="006E5168"/>
    <w:rsid w:val="006E71DD"/>
    <w:rsid w:val="006F0FFF"/>
    <w:rsid w:val="006F101D"/>
    <w:rsid w:val="00704F42"/>
    <w:rsid w:val="00710178"/>
    <w:rsid w:val="00734852"/>
    <w:rsid w:val="00735E8A"/>
    <w:rsid w:val="0073616D"/>
    <w:rsid w:val="0075786E"/>
    <w:rsid w:val="00760602"/>
    <w:rsid w:val="007627A6"/>
    <w:rsid w:val="00764D1F"/>
    <w:rsid w:val="00771B07"/>
    <w:rsid w:val="00773402"/>
    <w:rsid w:val="0077468A"/>
    <w:rsid w:val="00782E29"/>
    <w:rsid w:val="00783EFC"/>
    <w:rsid w:val="00792FFE"/>
    <w:rsid w:val="007A19A4"/>
    <w:rsid w:val="007A7F0C"/>
    <w:rsid w:val="007B1C99"/>
    <w:rsid w:val="007B201B"/>
    <w:rsid w:val="007D790B"/>
    <w:rsid w:val="007E669A"/>
    <w:rsid w:val="007E7C84"/>
    <w:rsid w:val="00806BF2"/>
    <w:rsid w:val="00807FE5"/>
    <w:rsid w:val="00817BD7"/>
    <w:rsid w:val="008223D3"/>
    <w:rsid w:val="00845332"/>
    <w:rsid w:val="00864547"/>
    <w:rsid w:val="008652EE"/>
    <w:rsid w:val="008800FB"/>
    <w:rsid w:val="00884D81"/>
    <w:rsid w:val="00886986"/>
    <w:rsid w:val="008A1B41"/>
    <w:rsid w:val="008D42A9"/>
    <w:rsid w:val="008E008C"/>
    <w:rsid w:val="008E2162"/>
    <w:rsid w:val="008E64FD"/>
    <w:rsid w:val="00903317"/>
    <w:rsid w:val="00911A42"/>
    <w:rsid w:val="009151C8"/>
    <w:rsid w:val="009206AF"/>
    <w:rsid w:val="0093593A"/>
    <w:rsid w:val="009436A3"/>
    <w:rsid w:val="00963607"/>
    <w:rsid w:val="00971D84"/>
    <w:rsid w:val="00981583"/>
    <w:rsid w:val="00984870"/>
    <w:rsid w:val="009D3B58"/>
    <w:rsid w:val="00A0176F"/>
    <w:rsid w:val="00A02587"/>
    <w:rsid w:val="00A072A1"/>
    <w:rsid w:val="00A124C2"/>
    <w:rsid w:val="00A32382"/>
    <w:rsid w:val="00A66918"/>
    <w:rsid w:val="00A7154F"/>
    <w:rsid w:val="00A8540A"/>
    <w:rsid w:val="00A87C0C"/>
    <w:rsid w:val="00A930FF"/>
    <w:rsid w:val="00A93D87"/>
    <w:rsid w:val="00AA1096"/>
    <w:rsid w:val="00AA4D5E"/>
    <w:rsid w:val="00AB199D"/>
    <w:rsid w:val="00AB2796"/>
    <w:rsid w:val="00AB4A95"/>
    <w:rsid w:val="00AD6BA8"/>
    <w:rsid w:val="00AD7357"/>
    <w:rsid w:val="00AE18DC"/>
    <w:rsid w:val="00AE7B30"/>
    <w:rsid w:val="00AF2F4F"/>
    <w:rsid w:val="00AF403B"/>
    <w:rsid w:val="00B167BF"/>
    <w:rsid w:val="00B22183"/>
    <w:rsid w:val="00B23C8B"/>
    <w:rsid w:val="00B755C2"/>
    <w:rsid w:val="00B9621E"/>
    <w:rsid w:val="00BA4545"/>
    <w:rsid w:val="00BB6B37"/>
    <w:rsid w:val="00BC6E4F"/>
    <w:rsid w:val="00BD4F71"/>
    <w:rsid w:val="00BF4B1C"/>
    <w:rsid w:val="00C018EA"/>
    <w:rsid w:val="00C02865"/>
    <w:rsid w:val="00C03079"/>
    <w:rsid w:val="00C11599"/>
    <w:rsid w:val="00C1195A"/>
    <w:rsid w:val="00C12353"/>
    <w:rsid w:val="00C276A9"/>
    <w:rsid w:val="00C27824"/>
    <w:rsid w:val="00C52885"/>
    <w:rsid w:val="00C535F1"/>
    <w:rsid w:val="00C54F44"/>
    <w:rsid w:val="00C6154A"/>
    <w:rsid w:val="00C61616"/>
    <w:rsid w:val="00C743B6"/>
    <w:rsid w:val="00C77FAA"/>
    <w:rsid w:val="00C90702"/>
    <w:rsid w:val="00CB2B3A"/>
    <w:rsid w:val="00CB60AA"/>
    <w:rsid w:val="00CC096F"/>
    <w:rsid w:val="00CD05A0"/>
    <w:rsid w:val="00D11F21"/>
    <w:rsid w:val="00D22814"/>
    <w:rsid w:val="00D272E1"/>
    <w:rsid w:val="00D27C8B"/>
    <w:rsid w:val="00D511B0"/>
    <w:rsid w:val="00D576E3"/>
    <w:rsid w:val="00D64D3B"/>
    <w:rsid w:val="00D852A5"/>
    <w:rsid w:val="00D9706F"/>
    <w:rsid w:val="00DA052F"/>
    <w:rsid w:val="00DB0CCD"/>
    <w:rsid w:val="00DB5C28"/>
    <w:rsid w:val="00DC30EB"/>
    <w:rsid w:val="00DC7DCC"/>
    <w:rsid w:val="00DD2A00"/>
    <w:rsid w:val="00DD34B6"/>
    <w:rsid w:val="00DE03DD"/>
    <w:rsid w:val="00DE3464"/>
    <w:rsid w:val="00DE4160"/>
    <w:rsid w:val="00DF7A9B"/>
    <w:rsid w:val="00E01E26"/>
    <w:rsid w:val="00E203FD"/>
    <w:rsid w:val="00E26383"/>
    <w:rsid w:val="00E33D48"/>
    <w:rsid w:val="00E57877"/>
    <w:rsid w:val="00E60529"/>
    <w:rsid w:val="00E642B1"/>
    <w:rsid w:val="00E85D31"/>
    <w:rsid w:val="00EA47C2"/>
    <w:rsid w:val="00EB12F9"/>
    <w:rsid w:val="00EB1B89"/>
    <w:rsid w:val="00EB6D1D"/>
    <w:rsid w:val="00EC5AD2"/>
    <w:rsid w:val="00ED2720"/>
    <w:rsid w:val="00ED5017"/>
    <w:rsid w:val="00EE041F"/>
    <w:rsid w:val="00EE4691"/>
    <w:rsid w:val="00EF7623"/>
    <w:rsid w:val="00F06D7C"/>
    <w:rsid w:val="00F07A03"/>
    <w:rsid w:val="00F10868"/>
    <w:rsid w:val="00F125E1"/>
    <w:rsid w:val="00F22DF9"/>
    <w:rsid w:val="00F40711"/>
    <w:rsid w:val="00F575B1"/>
    <w:rsid w:val="00F972FB"/>
    <w:rsid w:val="00FA2E20"/>
    <w:rsid w:val="00FA5656"/>
    <w:rsid w:val="00FB144A"/>
    <w:rsid w:val="00FB1E1F"/>
    <w:rsid w:val="00FC3710"/>
    <w:rsid w:val="00FE1039"/>
    <w:rsid w:val="00FF0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93593A"/>
    <w:pPr>
      <w:autoSpaceDE w:val="0"/>
      <w:autoSpaceDN w:val="0"/>
      <w:adjustRightInd w:val="0"/>
      <w:spacing w:after="0" w:line="240" w:lineRule="auto"/>
    </w:pPr>
    <w:rPr>
      <w:rFonts w:ascii="Berthold Akzidenz Grotesk" w:hAnsi="Berthold Akzidenz Grotesk" w:cs="Berthold Akzidenz Grotesk"/>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9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F4B1C"/>
    <w:pPr>
      <w:tabs>
        <w:tab w:val="center" w:pos="4680"/>
        <w:tab w:val="right" w:pos="9360"/>
      </w:tabs>
      <w:spacing w:after="0" w:line="240" w:lineRule="auto"/>
    </w:pPr>
  </w:style>
  <w:style w:type="character" w:customStyle="1" w:styleId="HeaderChar">
    <w:name w:val="Header Char"/>
    <w:basedOn w:val="DefaultParagraphFont"/>
    <w:link w:val="Header"/>
    <w:rsid w:val="00BF4B1C"/>
  </w:style>
  <w:style w:type="paragraph" w:styleId="Footer">
    <w:name w:val="footer"/>
    <w:basedOn w:val="Normal"/>
    <w:link w:val="FooterChar"/>
    <w:uiPriority w:val="99"/>
    <w:unhideWhenUsed/>
    <w:rsid w:val="00BF4B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4B1C"/>
  </w:style>
  <w:style w:type="paragraph" w:customStyle="1" w:styleId="Default">
    <w:name w:val="Default"/>
    <w:rsid w:val="0093593A"/>
    <w:pPr>
      <w:autoSpaceDE w:val="0"/>
      <w:autoSpaceDN w:val="0"/>
      <w:adjustRightInd w:val="0"/>
      <w:spacing w:after="0" w:line="240" w:lineRule="auto"/>
    </w:pPr>
    <w:rPr>
      <w:rFonts w:ascii="Berthold Akzidenz Grotesk" w:hAnsi="Berthold Akzidenz Grotesk" w:cs="Berthold Akzidenz Grote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240</Words>
  <Characters>1371</Characters>
  <Application>Microsoft Office Word</Application>
  <DocSecurity>0</DocSecurity>
  <Lines>11</Lines>
  <Paragraphs>3</Paragraphs>
  <ScaleCrop>false</ScaleCrop>
  <Company>Sage Publications</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Berbeo, Lucy</dc:creator>
  <cp:keywords/>
  <dc:description/>
  <cp:lastModifiedBy>Berbeo, Lucy</cp:lastModifiedBy>
  <cp:revision>4</cp:revision>
  <dcterms:created xsi:type="dcterms:W3CDTF">2015-02-10T16:54:00Z</dcterms:created>
  <dcterms:modified xsi:type="dcterms:W3CDTF">2015-02-10T17:11:00Z</dcterms:modified>
</cp:coreProperties>
</file>