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F2679" w:rsidRPr="00D37003" w:rsidRDefault="00CF2679" w:rsidP="00D37003">
      <w:pPr>
        <w:rPr>
          <w:rFonts w:asciiTheme="minorHAnsi" w:hAnsiTheme="minorHAnsi" w:cs="Arial"/>
          <w:color w:val="0000D4"/>
          <w:sz w:val="22"/>
          <w:szCs w:val="22"/>
          <w:u w:val="single"/>
        </w:rPr>
      </w:pPr>
      <w:r w:rsidRPr="00D37003">
        <w:rPr>
          <w:rFonts w:asciiTheme="minorHAnsi" w:hAnsiTheme="minorHAnsi"/>
          <w:sz w:val="22"/>
          <w:szCs w:val="22"/>
        </w:rPr>
        <w:t xml:space="preserve">1. </w:t>
      </w:r>
      <w:proofErr w:type="spellStart"/>
      <w:r w:rsidRPr="00D37003">
        <w:rPr>
          <w:rFonts w:asciiTheme="minorHAnsi" w:hAnsiTheme="minorHAnsi"/>
          <w:sz w:val="22"/>
          <w:szCs w:val="22"/>
        </w:rPr>
        <w:t>Morash</w:t>
      </w:r>
      <w:proofErr w:type="spellEnd"/>
      <w:r w:rsidRPr="00D37003">
        <w:rPr>
          <w:rFonts w:asciiTheme="minorHAnsi" w:hAnsiTheme="minorHAnsi"/>
          <w:sz w:val="22"/>
          <w:szCs w:val="22"/>
        </w:rPr>
        <w:t xml:space="preserve">, M., Stevens, T., &amp; </w:t>
      </w:r>
      <w:proofErr w:type="spellStart"/>
      <w:r w:rsidRPr="00D37003">
        <w:rPr>
          <w:rFonts w:asciiTheme="minorHAnsi" w:hAnsiTheme="minorHAnsi"/>
          <w:sz w:val="22"/>
          <w:szCs w:val="22"/>
        </w:rPr>
        <w:t>Yingling</w:t>
      </w:r>
      <w:proofErr w:type="spellEnd"/>
      <w:r w:rsidRPr="00D37003">
        <w:rPr>
          <w:rFonts w:asciiTheme="minorHAnsi" w:hAnsiTheme="minorHAnsi"/>
          <w:sz w:val="22"/>
          <w:szCs w:val="22"/>
        </w:rPr>
        <w:t xml:space="preserve">, J. (2014). Focus on the family: juvenile court responses to girls and their caretakers. </w:t>
      </w:r>
      <w:r w:rsidRPr="00D37003">
        <w:rPr>
          <w:rFonts w:asciiTheme="minorHAnsi" w:hAnsiTheme="minorHAnsi"/>
          <w:i/>
          <w:sz w:val="22"/>
          <w:szCs w:val="22"/>
        </w:rPr>
        <w:t>Feminist Criminology</w:t>
      </w:r>
      <w:r w:rsidRPr="00D37003">
        <w:rPr>
          <w:rFonts w:asciiTheme="minorHAnsi" w:hAnsiTheme="minorHAnsi"/>
          <w:sz w:val="22"/>
          <w:szCs w:val="22"/>
        </w:rPr>
        <w:t xml:space="preserve">, 9, pp. 298-322. </w:t>
      </w:r>
      <w:proofErr w:type="spellStart"/>
      <w:proofErr w:type="gramStart"/>
      <w:r w:rsidRPr="00D37003">
        <w:rPr>
          <w:rFonts w:asciiTheme="minorHAnsi" w:hAnsiTheme="minorHAnsi"/>
          <w:sz w:val="22"/>
          <w:szCs w:val="22"/>
        </w:rPr>
        <w:t>doi</w:t>
      </w:r>
      <w:proofErr w:type="spellEnd"/>
      <w:proofErr w:type="gramEnd"/>
      <w:r w:rsidRPr="00D37003">
        <w:rPr>
          <w:rFonts w:asciiTheme="minorHAnsi" w:hAnsiTheme="minorHAnsi"/>
          <w:sz w:val="22"/>
          <w:szCs w:val="22"/>
        </w:rPr>
        <w:t>: 10.1177/1557085114527151[</w:t>
      </w:r>
      <w:hyperlink r:id="rId7" w:history="1">
        <w:r w:rsidRPr="00D37003">
          <w:rPr>
            <w:rFonts w:asciiTheme="minorHAnsi" w:hAnsiTheme="minorHAnsi" w:cs="Arial"/>
            <w:color w:val="0000D4"/>
            <w:sz w:val="22"/>
            <w:szCs w:val="22"/>
            <w:u w:val="single"/>
          </w:rPr>
          <w:t>http://fcx.sagepub.com/cgi/reprint/9/4/298?ijkey=Q1scKsrT8X436&amp;keytype=ref&amp;siteid=spfcx</w:t>
        </w:r>
      </w:hyperlink>
      <w:r w:rsidRPr="00D37003">
        <w:rPr>
          <w:rFonts w:asciiTheme="minorHAnsi" w:hAnsiTheme="minorHAnsi"/>
          <w:sz w:val="22"/>
          <w:szCs w:val="22"/>
        </w:rPr>
        <w:t>]</w:t>
      </w:r>
    </w:p>
    <w:p w:rsidR="00CF2679" w:rsidRPr="00D37003" w:rsidRDefault="00CF2679" w:rsidP="00D37003">
      <w:pPr>
        <w:rPr>
          <w:rFonts w:asciiTheme="minorHAnsi" w:hAnsiTheme="minorHAnsi"/>
          <w:sz w:val="22"/>
          <w:szCs w:val="22"/>
        </w:rPr>
      </w:pPr>
      <w:r w:rsidRPr="00D37003">
        <w:rPr>
          <w:rFonts w:asciiTheme="minorHAnsi" w:hAnsiTheme="minorHAnsi"/>
          <w:sz w:val="22"/>
          <w:szCs w:val="22"/>
        </w:rPr>
        <w:t xml:space="preserve">According to the feminist framework, a primary criticism of juvenile court’s responses to girls involve the court’s </w:t>
      </w:r>
    </w:p>
    <w:p w:rsidR="00CF2679" w:rsidRPr="00D37003" w:rsidRDefault="00CF2679" w:rsidP="00D37003">
      <w:pPr>
        <w:rPr>
          <w:rFonts w:asciiTheme="minorHAnsi" w:hAnsiTheme="minorHAnsi" w:cs="Arial"/>
          <w:sz w:val="22"/>
          <w:szCs w:val="22"/>
        </w:rPr>
      </w:pPr>
      <w:r w:rsidRPr="00D37003">
        <w:rPr>
          <w:rFonts w:asciiTheme="minorHAnsi" w:hAnsiTheme="minorHAnsi"/>
          <w:sz w:val="22"/>
          <w:szCs w:val="22"/>
        </w:rPr>
        <w:t xml:space="preserve">@ Learning Objective: </w:t>
      </w:r>
      <w:r w:rsidRPr="00D37003">
        <w:rPr>
          <w:rFonts w:asciiTheme="minorHAnsi" w:hAnsiTheme="minorHAnsi" w:cs="Arial"/>
          <w:sz w:val="22"/>
          <w:szCs w:val="22"/>
        </w:rPr>
        <w:t>9-5: Describe how lower courts are arranged and their relationships</w:t>
      </w:r>
    </w:p>
    <w:p w:rsidR="00CF2679" w:rsidRPr="00D37003" w:rsidRDefault="00CF2679" w:rsidP="00D37003">
      <w:pPr>
        <w:rPr>
          <w:rFonts w:asciiTheme="minorHAnsi" w:hAnsiTheme="minorHAnsi"/>
          <w:sz w:val="22"/>
          <w:szCs w:val="22"/>
        </w:rPr>
      </w:pPr>
      <w:proofErr w:type="gramStart"/>
      <w:r w:rsidRPr="00D37003">
        <w:rPr>
          <w:rFonts w:asciiTheme="minorHAnsi" w:hAnsiTheme="minorHAnsi"/>
          <w:sz w:val="22"/>
          <w:szCs w:val="22"/>
        </w:rPr>
        <w:t>*a. disregard for the fact that some caretakers precipitate offending.</w:t>
      </w:r>
      <w:proofErr w:type="gramEnd"/>
      <w:r w:rsidRPr="00D37003">
        <w:rPr>
          <w:rFonts w:asciiTheme="minorHAnsi" w:hAnsiTheme="minorHAnsi"/>
          <w:sz w:val="22"/>
          <w:szCs w:val="22"/>
        </w:rPr>
        <w:t xml:space="preserve"> </w:t>
      </w:r>
    </w:p>
    <w:p w:rsidR="00CF2679" w:rsidRPr="00D37003" w:rsidRDefault="00CF2679" w:rsidP="00D37003">
      <w:pPr>
        <w:rPr>
          <w:rFonts w:asciiTheme="minorHAnsi" w:hAnsiTheme="minorHAnsi"/>
          <w:sz w:val="22"/>
          <w:szCs w:val="22"/>
        </w:rPr>
      </w:pPr>
      <w:proofErr w:type="gramStart"/>
      <w:r w:rsidRPr="00D37003">
        <w:rPr>
          <w:rFonts w:asciiTheme="minorHAnsi" w:hAnsiTheme="minorHAnsi"/>
          <w:sz w:val="22"/>
          <w:szCs w:val="22"/>
        </w:rPr>
        <w:t>b</w:t>
      </w:r>
      <w:proofErr w:type="gramEnd"/>
      <w:r w:rsidRPr="00D37003">
        <w:rPr>
          <w:rFonts w:asciiTheme="minorHAnsi" w:hAnsiTheme="minorHAnsi"/>
          <w:sz w:val="22"/>
          <w:szCs w:val="22"/>
        </w:rPr>
        <w:t>. lack of respect for parental authority.</w:t>
      </w:r>
    </w:p>
    <w:p w:rsidR="00CF2679" w:rsidRPr="00D37003" w:rsidRDefault="00CF2679" w:rsidP="00D37003">
      <w:pPr>
        <w:rPr>
          <w:rFonts w:asciiTheme="minorHAnsi" w:hAnsiTheme="minorHAnsi"/>
          <w:sz w:val="22"/>
          <w:szCs w:val="22"/>
        </w:rPr>
      </w:pPr>
      <w:proofErr w:type="gramStart"/>
      <w:r w:rsidRPr="00D37003">
        <w:rPr>
          <w:rFonts w:asciiTheme="minorHAnsi" w:hAnsiTheme="minorHAnsi"/>
          <w:sz w:val="22"/>
          <w:szCs w:val="22"/>
        </w:rPr>
        <w:t>c</w:t>
      </w:r>
      <w:proofErr w:type="gramEnd"/>
      <w:r w:rsidRPr="00D37003">
        <w:rPr>
          <w:rFonts w:asciiTheme="minorHAnsi" w:hAnsiTheme="minorHAnsi"/>
          <w:sz w:val="22"/>
          <w:szCs w:val="22"/>
        </w:rPr>
        <w:t>. inadvertent focus on mental health needs.</w:t>
      </w:r>
    </w:p>
    <w:p w:rsidR="00CF2679" w:rsidRPr="00D37003" w:rsidRDefault="00CF2679" w:rsidP="00D37003">
      <w:pPr>
        <w:rPr>
          <w:rFonts w:asciiTheme="minorHAnsi" w:hAnsiTheme="minorHAnsi"/>
          <w:sz w:val="22"/>
          <w:szCs w:val="22"/>
        </w:rPr>
      </w:pPr>
      <w:proofErr w:type="gramStart"/>
      <w:r w:rsidRPr="00D37003">
        <w:rPr>
          <w:rFonts w:asciiTheme="minorHAnsi" w:hAnsiTheme="minorHAnsi"/>
          <w:sz w:val="22"/>
          <w:szCs w:val="22"/>
        </w:rPr>
        <w:t>d</w:t>
      </w:r>
      <w:proofErr w:type="gramEnd"/>
      <w:r w:rsidRPr="00D37003">
        <w:rPr>
          <w:rFonts w:asciiTheme="minorHAnsi" w:hAnsiTheme="minorHAnsi"/>
          <w:sz w:val="22"/>
          <w:szCs w:val="22"/>
        </w:rPr>
        <w:t>. intolerance of family dysfunction.</w:t>
      </w:r>
    </w:p>
    <w:p w:rsidR="00CF2679" w:rsidRPr="00D37003" w:rsidRDefault="00CF2679" w:rsidP="00D37003">
      <w:pPr>
        <w:rPr>
          <w:rFonts w:asciiTheme="minorHAnsi" w:hAnsiTheme="minorHAnsi"/>
          <w:sz w:val="22"/>
          <w:szCs w:val="22"/>
        </w:rPr>
      </w:pPr>
    </w:p>
    <w:p w:rsidR="00CF2679" w:rsidRPr="00D37003" w:rsidRDefault="00CF2679" w:rsidP="00D37003">
      <w:pPr>
        <w:rPr>
          <w:rFonts w:asciiTheme="minorHAnsi" w:hAnsiTheme="minorHAnsi" w:cs="Arial"/>
          <w:color w:val="0000D4"/>
          <w:sz w:val="22"/>
          <w:szCs w:val="22"/>
          <w:u w:val="single"/>
        </w:rPr>
      </w:pPr>
      <w:r w:rsidRPr="00D37003">
        <w:rPr>
          <w:rFonts w:asciiTheme="minorHAnsi" w:hAnsiTheme="minorHAnsi"/>
          <w:sz w:val="22"/>
          <w:szCs w:val="22"/>
        </w:rPr>
        <w:t xml:space="preserve">2. </w:t>
      </w:r>
      <w:proofErr w:type="spellStart"/>
      <w:r w:rsidRPr="00D37003">
        <w:rPr>
          <w:rFonts w:asciiTheme="minorHAnsi" w:hAnsiTheme="minorHAnsi"/>
          <w:sz w:val="22"/>
          <w:szCs w:val="22"/>
        </w:rPr>
        <w:t>Morash</w:t>
      </w:r>
      <w:proofErr w:type="spellEnd"/>
      <w:r w:rsidRPr="00D37003">
        <w:rPr>
          <w:rFonts w:asciiTheme="minorHAnsi" w:hAnsiTheme="minorHAnsi"/>
          <w:sz w:val="22"/>
          <w:szCs w:val="22"/>
        </w:rPr>
        <w:t xml:space="preserve">, M., Stevens, T., &amp; </w:t>
      </w:r>
      <w:proofErr w:type="spellStart"/>
      <w:r w:rsidRPr="00D37003">
        <w:rPr>
          <w:rFonts w:asciiTheme="minorHAnsi" w:hAnsiTheme="minorHAnsi"/>
          <w:sz w:val="22"/>
          <w:szCs w:val="22"/>
        </w:rPr>
        <w:t>Yingling</w:t>
      </w:r>
      <w:proofErr w:type="spellEnd"/>
      <w:r w:rsidRPr="00D37003">
        <w:rPr>
          <w:rFonts w:asciiTheme="minorHAnsi" w:hAnsiTheme="minorHAnsi"/>
          <w:sz w:val="22"/>
          <w:szCs w:val="22"/>
        </w:rPr>
        <w:t xml:space="preserve">, J. (2014). Focus on the family: juvenile court responses to girls and their caretakers. </w:t>
      </w:r>
      <w:r w:rsidRPr="00D37003">
        <w:rPr>
          <w:rFonts w:asciiTheme="minorHAnsi" w:hAnsiTheme="minorHAnsi"/>
          <w:i/>
          <w:sz w:val="22"/>
          <w:szCs w:val="22"/>
        </w:rPr>
        <w:t>Feminist Criminology</w:t>
      </w:r>
      <w:r w:rsidRPr="00D37003">
        <w:rPr>
          <w:rFonts w:asciiTheme="minorHAnsi" w:hAnsiTheme="minorHAnsi"/>
          <w:sz w:val="22"/>
          <w:szCs w:val="22"/>
        </w:rPr>
        <w:t xml:space="preserve">, 9, pp. 298-322. </w:t>
      </w:r>
      <w:proofErr w:type="spellStart"/>
      <w:proofErr w:type="gramStart"/>
      <w:r w:rsidRPr="00D37003">
        <w:rPr>
          <w:rFonts w:asciiTheme="minorHAnsi" w:hAnsiTheme="minorHAnsi"/>
          <w:sz w:val="22"/>
          <w:szCs w:val="22"/>
        </w:rPr>
        <w:t>doi</w:t>
      </w:r>
      <w:proofErr w:type="spellEnd"/>
      <w:proofErr w:type="gramEnd"/>
      <w:r w:rsidRPr="00D37003">
        <w:rPr>
          <w:rFonts w:asciiTheme="minorHAnsi" w:hAnsiTheme="minorHAnsi"/>
          <w:sz w:val="22"/>
          <w:szCs w:val="22"/>
        </w:rPr>
        <w:t>: 10.1177/1557085114527151[</w:t>
      </w:r>
      <w:hyperlink r:id="rId8" w:history="1">
        <w:r w:rsidRPr="00D37003">
          <w:rPr>
            <w:rFonts w:asciiTheme="minorHAnsi" w:hAnsiTheme="minorHAnsi" w:cs="Arial"/>
            <w:color w:val="0000D4"/>
            <w:sz w:val="22"/>
            <w:szCs w:val="22"/>
            <w:u w:val="single"/>
          </w:rPr>
          <w:t>http://fcx.sagepub.com/cgi/reprint/9/4/298?ijkey=Q1scKsrT8X436&amp;keytype=ref&amp;siteid=spfcx</w:t>
        </w:r>
      </w:hyperlink>
      <w:r w:rsidRPr="00D37003">
        <w:rPr>
          <w:rFonts w:asciiTheme="minorHAnsi" w:hAnsiTheme="minorHAnsi"/>
          <w:sz w:val="22"/>
          <w:szCs w:val="22"/>
        </w:rPr>
        <w:t>]</w:t>
      </w:r>
    </w:p>
    <w:p w:rsidR="00CF2679" w:rsidRPr="00D37003" w:rsidRDefault="00CF2679" w:rsidP="00D37003">
      <w:pPr>
        <w:rPr>
          <w:rFonts w:asciiTheme="minorHAnsi" w:hAnsiTheme="minorHAnsi"/>
          <w:sz w:val="22"/>
          <w:szCs w:val="22"/>
        </w:rPr>
      </w:pPr>
      <w:r w:rsidRPr="00D37003">
        <w:rPr>
          <w:rFonts w:asciiTheme="minorHAnsi" w:hAnsiTheme="minorHAnsi"/>
          <w:sz w:val="22"/>
          <w:szCs w:val="22"/>
        </w:rPr>
        <w:t>In order to improve justice for girls similar to the study participants, the authors recommend that girls should be assessed</w:t>
      </w:r>
    </w:p>
    <w:p w:rsidR="00CF2679" w:rsidRPr="00D37003" w:rsidRDefault="00CF2679" w:rsidP="00D37003">
      <w:pPr>
        <w:rPr>
          <w:rFonts w:asciiTheme="minorHAnsi" w:hAnsiTheme="minorHAnsi" w:cs="Arial"/>
          <w:sz w:val="22"/>
          <w:szCs w:val="22"/>
        </w:rPr>
      </w:pPr>
      <w:r w:rsidRPr="00D37003">
        <w:rPr>
          <w:rFonts w:asciiTheme="minorHAnsi" w:hAnsiTheme="minorHAnsi"/>
          <w:sz w:val="22"/>
          <w:szCs w:val="22"/>
        </w:rPr>
        <w:t xml:space="preserve">@ Learning Objective: </w:t>
      </w:r>
      <w:r w:rsidRPr="00D37003">
        <w:rPr>
          <w:rFonts w:asciiTheme="minorHAnsi" w:hAnsiTheme="minorHAnsi" w:cs="Arial"/>
          <w:sz w:val="22"/>
          <w:szCs w:val="22"/>
        </w:rPr>
        <w:t>9-5: Describe how lower courts are arranged and their relationships</w:t>
      </w:r>
    </w:p>
    <w:p w:rsidR="00CF2679" w:rsidRPr="00D37003" w:rsidRDefault="00CF2679" w:rsidP="00D37003">
      <w:pPr>
        <w:rPr>
          <w:rFonts w:asciiTheme="minorHAnsi" w:hAnsiTheme="minorHAnsi"/>
          <w:sz w:val="22"/>
          <w:szCs w:val="22"/>
        </w:rPr>
      </w:pPr>
      <w:proofErr w:type="gramStart"/>
      <w:r w:rsidRPr="00D37003">
        <w:rPr>
          <w:rFonts w:asciiTheme="minorHAnsi" w:hAnsiTheme="minorHAnsi"/>
          <w:sz w:val="22"/>
          <w:szCs w:val="22"/>
        </w:rPr>
        <w:t>a</w:t>
      </w:r>
      <w:proofErr w:type="gramEnd"/>
      <w:r w:rsidRPr="00D37003">
        <w:rPr>
          <w:rFonts w:asciiTheme="minorHAnsi" w:hAnsiTheme="minorHAnsi"/>
          <w:sz w:val="22"/>
          <w:szCs w:val="22"/>
        </w:rPr>
        <w:t>. by same-gender evaluators.</w:t>
      </w:r>
    </w:p>
    <w:p w:rsidR="00CF2679" w:rsidRPr="00D37003" w:rsidRDefault="00CF2679" w:rsidP="00D37003">
      <w:pPr>
        <w:rPr>
          <w:rFonts w:asciiTheme="minorHAnsi" w:hAnsiTheme="minorHAnsi"/>
          <w:sz w:val="22"/>
          <w:szCs w:val="22"/>
        </w:rPr>
      </w:pPr>
      <w:proofErr w:type="gramStart"/>
      <w:r w:rsidRPr="00D37003">
        <w:rPr>
          <w:rFonts w:asciiTheme="minorHAnsi" w:hAnsiTheme="minorHAnsi"/>
          <w:sz w:val="22"/>
          <w:szCs w:val="22"/>
        </w:rPr>
        <w:t>*b. with girl-centered risk assessment instruments.</w:t>
      </w:r>
      <w:proofErr w:type="gramEnd"/>
    </w:p>
    <w:p w:rsidR="00CF2679" w:rsidRPr="00D37003" w:rsidRDefault="00CF2679" w:rsidP="00D37003">
      <w:pPr>
        <w:rPr>
          <w:rFonts w:asciiTheme="minorHAnsi" w:hAnsiTheme="minorHAnsi"/>
          <w:sz w:val="22"/>
          <w:szCs w:val="22"/>
        </w:rPr>
      </w:pPr>
      <w:proofErr w:type="gramStart"/>
      <w:r w:rsidRPr="00D37003">
        <w:rPr>
          <w:rFonts w:asciiTheme="minorHAnsi" w:hAnsiTheme="minorHAnsi"/>
          <w:sz w:val="22"/>
          <w:szCs w:val="22"/>
        </w:rPr>
        <w:t>c</w:t>
      </w:r>
      <w:proofErr w:type="gramEnd"/>
      <w:r w:rsidRPr="00D37003">
        <w:rPr>
          <w:rFonts w:asciiTheme="minorHAnsi" w:hAnsiTheme="minorHAnsi"/>
          <w:sz w:val="22"/>
          <w:szCs w:val="22"/>
        </w:rPr>
        <w:t xml:space="preserve">. by licensed social workers. </w:t>
      </w:r>
    </w:p>
    <w:p w:rsidR="00CF2679" w:rsidRPr="00D37003" w:rsidRDefault="00CF2679" w:rsidP="00D37003">
      <w:pPr>
        <w:rPr>
          <w:rFonts w:asciiTheme="minorHAnsi" w:hAnsiTheme="minorHAnsi"/>
          <w:sz w:val="22"/>
          <w:szCs w:val="22"/>
        </w:rPr>
      </w:pPr>
      <w:proofErr w:type="gramStart"/>
      <w:r w:rsidRPr="00D37003">
        <w:rPr>
          <w:rFonts w:asciiTheme="minorHAnsi" w:hAnsiTheme="minorHAnsi"/>
          <w:sz w:val="22"/>
          <w:szCs w:val="22"/>
        </w:rPr>
        <w:t>d</w:t>
      </w:r>
      <w:proofErr w:type="gramEnd"/>
      <w:r w:rsidRPr="00D37003">
        <w:rPr>
          <w:rFonts w:asciiTheme="minorHAnsi" w:hAnsiTheme="minorHAnsi"/>
          <w:sz w:val="22"/>
          <w:szCs w:val="22"/>
        </w:rPr>
        <w:t xml:space="preserve">. with family members present. </w:t>
      </w:r>
    </w:p>
    <w:p w:rsidR="00CF2679" w:rsidRPr="00D37003" w:rsidRDefault="00CF2679" w:rsidP="00D37003">
      <w:pPr>
        <w:tabs>
          <w:tab w:val="left" w:pos="3300"/>
        </w:tabs>
        <w:rPr>
          <w:rFonts w:asciiTheme="minorHAnsi" w:hAnsiTheme="minorHAnsi"/>
          <w:sz w:val="22"/>
          <w:szCs w:val="22"/>
        </w:rPr>
      </w:pPr>
    </w:p>
    <w:p w:rsidR="00CF2679" w:rsidRPr="00D37003" w:rsidRDefault="00CF2679" w:rsidP="00D37003">
      <w:pPr>
        <w:tabs>
          <w:tab w:val="left" w:pos="3300"/>
        </w:tabs>
        <w:rPr>
          <w:rFonts w:asciiTheme="minorHAnsi" w:hAnsiTheme="minorHAnsi"/>
          <w:sz w:val="22"/>
          <w:szCs w:val="22"/>
        </w:rPr>
      </w:pPr>
      <w:r w:rsidRPr="00D37003">
        <w:rPr>
          <w:rFonts w:asciiTheme="minorHAnsi" w:hAnsiTheme="minorHAnsi"/>
          <w:sz w:val="22"/>
          <w:szCs w:val="22"/>
        </w:rPr>
        <w:t>Type: E</w:t>
      </w:r>
      <w:r w:rsidRPr="00D37003">
        <w:rPr>
          <w:rFonts w:asciiTheme="minorHAnsi" w:hAnsiTheme="minorHAnsi"/>
          <w:sz w:val="22"/>
          <w:szCs w:val="22"/>
        </w:rPr>
        <w:tab/>
      </w:r>
    </w:p>
    <w:p w:rsidR="00CF2679" w:rsidRPr="00D37003" w:rsidRDefault="00CF2679" w:rsidP="00D37003">
      <w:pPr>
        <w:rPr>
          <w:rFonts w:asciiTheme="minorHAnsi" w:hAnsiTheme="minorHAnsi" w:cs="Arial"/>
          <w:color w:val="0000D4"/>
          <w:sz w:val="22"/>
          <w:szCs w:val="22"/>
          <w:u w:val="single"/>
        </w:rPr>
      </w:pPr>
      <w:r w:rsidRPr="00D37003">
        <w:rPr>
          <w:rFonts w:asciiTheme="minorHAnsi" w:hAnsiTheme="minorHAnsi"/>
          <w:sz w:val="22"/>
          <w:szCs w:val="22"/>
        </w:rPr>
        <w:t xml:space="preserve">3. </w:t>
      </w:r>
      <w:proofErr w:type="spellStart"/>
      <w:r w:rsidRPr="00D37003">
        <w:rPr>
          <w:rFonts w:asciiTheme="minorHAnsi" w:hAnsiTheme="minorHAnsi"/>
          <w:sz w:val="22"/>
          <w:szCs w:val="22"/>
        </w:rPr>
        <w:t>Morash</w:t>
      </w:r>
      <w:proofErr w:type="spellEnd"/>
      <w:r w:rsidRPr="00D37003">
        <w:rPr>
          <w:rFonts w:asciiTheme="minorHAnsi" w:hAnsiTheme="minorHAnsi"/>
          <w:sz w:val="22"/>
          <w:szCs w:val="22"/>
        </w:rPr>
        <w:t xml:space="preserve">, M., Stevens, T., &amp; </w:t>
      </w:r>
      <w:proofErr w:type="spellStart"/>
      <w:r w:rsidRPr="00D37003">
        <w:rPr>
          <w:rFonts w:asciiTheme="minorHAnsi" w:hAnsiTheme="minorHAnsi"/>
          <w:sz w:val="22"/>
          <w:szCs w:val="22"/>
        </w:rPr>
        <w:t>Yingling</w:t>
      </w:r>
      <w:proofErr w:type="spellEnd"/>
      <w:r w:rsidRPr="00D37003">
        <w:rPr>
          <w:rFonts w:asciiTheme="minorHAnsi" w:hAnsiTheme="minorHAnsi"/>
          <w:sz w:val="22"/>
          <w:szCs w:val="22"/>
        </w:rPr>
        <w:t xml:space="preserve">, J. (2014). Focus on the family: juvenile court responses to girls and their caretakers. </w:t>
      </w:r>
      <w:r w:rsidRPr="00D37003">
        <w:rPr>
          <w:rFonts w:asciiTheme="minorHAnsi" w:hAnsiTheme="minorHAnsi"/>
          <w:i/>
          <w:sz w:val="22"/>
          <w:szCs w:val="22"/>
        </w:rPr>
        <w:t>Feminist Criminology</w:t>
      </w:r>
      <w:r w:rsidRPr="00D37003">
        <w:rPr>
          <w:rFonts w:asciiTheme="minorHAnsi" w:hAnsiTheme="minorHAnsi"/>
          <w:sz w:val="22"/>
          <w:szCs w:val="22"/>
        </w:rPr>
        <w:t xml:space="preserve">, 9, pp. 298-322. </w:t>
      </w:r>
      <w:proofErr w:type="spellStart"/>
      <w:proofErr w:type="gramStart"/>
      <w:r w:rsidRPr="00D37003">
        <w:rPr>
          <w:rFonts w:asciiTheme="minorHAnsi" w:hAnsiTheme="minorHAnsi"/>
          <w:sz w:val="22"/>
          <w:szCs w:val="22"/>
        </w:rPr>
        <w:t>doi</w:t>
      </w:r>
      <w:proofErr w:type="spellEnd"/>
      <w:proofErr w:type="gramEnd"/>
      <w:r w:rsidRPr="00D37003">
        <w:rPr>
          <w:rFonts w:asciiTheme="minorHAnsi" w:hAnsiTheme="minorHAnsi"/>
          <w:sz w:val="22"/>
          <w:szCs w:val="22"/>
        </w:rPr>
        <w:t>: 10.1177/1557085114527151[</w:t>
      </w:r>
      <w:hyperlink r:id="rId9" w:history="1">
        <w:r w:rsidRPr="00D37003">
          <w:rPr>
            <w:rFonts w:asciiTheme="minorHAnsi" w:hAnsiTheme="minorHAnsi" w:cs="Arial"/>
            <w:color w:val="0000D4"/>
            <w:sz w:val="22"/>
            <w:szCs w:val="22"/>
            <w:u w:val="single"/>
          </w:rPr>
          <w:t>http://fcx.sagepub.com/cgi/reprint/9/4/298?ijkey=Q1scKsrT8X436&amp;keytype=ref&amp;siteid=spfcx</w:t>
        </w:r>
      </w:hyperlink>
      <w:r w:rsidRPr="00D37003">
        <w:rPr>
          <w:rFonts w:asciiTheme="minorHAnsi" w:hAnsiTheme="minorHAnsi"/>
          <w:sz w:val="22"/>
          <w:szCs w:val="22"/>
        </w:rPr>
        <w:t>]</w:t>
      </w:r>
    </w:p>
    <w:p w:rsidR="00CF2679" w:rsidRPr="00D37003" w:rsidRDefault="00CF2679" w:rsidP="00D37003">
      <w:pPr>
        <w:tabs>
          <w:tab w:val="left" w:pos="3300"/>
        </w:tabs>
        <w:rPr>
          <w:rFonts w:asciiTheme="minorHAnsi" w:hAnsiTheme="minorHAnsi"/>
          <w:sz w:val="22"/>
          <w:szCs w:val="22"/>
        </w:rPr>
      </w:pPr>
      <w:r w:rsidRPr="00D37003">
        <w:rPr>
          <w:rFonts w:asciiTheme="minorHAnsi" w:hAnsiTheme="minorHAnsi"/>
          <w:sz w:val="22"/>
          <w:szCs w:val="22"/>
        </w:rPr>
        <w:t>List the three ways juvenile courts have discretion to intervene in youthful offenders’ family life.</w:t>
      </w:r>
    </w:p>
    <w:p w:rsidR="00CF2679" w:rsidRPr="00D37003" w:rsidRDefault="00CF2679" w:rsidP="00D37003">
      <w:pPr>
        <w:tabs>
          <w:tab w:val="left" w:pos="3300"/>
        </w:tabs>
        <w:rPr>
          <w:rFonts w:asciiTheme="minorHAnsi" w:hAnsiTheme="minorHAnsi"/>
          <w:sz w:val="22"/>
          <w:szCs w:val="22"/>
        </w:rPr>
      </w:pPr>
      <w:r w:rsidRPr="00D37003">
        <w:rPr>
          <w:rFonts w:asciiTheme="minorHAnsi" w:hAnsiTheme="minorHAnsi"/>
          <w:sz w:val="22"/>
          <w:szCs w:val="22"/>
        </w:rPr>
        <w:t xml:space="preserve">*a. Answers may vary. (1) Following the doctrine of </w:t>
      </w:r>
      <w:proofErr w:type="spellStart"/>
      <w:r w:rsidRPr="00D37003">
        <w:rPr>
          <w:rFonts w:asciiTheme="minorHAnsi" w:hAnsiTheme="minorHAnsi"/>
          <w:sz w:val="22"/>
          <w:szCs w:val="22"/>
        </w:rPr>
        <w:t>parens</w:t>
      </w:r>
      <w:proofErr w:type="spellEnd"/>
      <w:r w:rsidRPr="00D37003">
        <w:rPr>
          <w:rFonts w:asciiTheme="minorHAnsi" w:hAnsiTheme="minorHAnsi"/>
          <w:sz w:val="22"/>
          <w:szCs w:val="22"/>
        </w:rPr>
        <w:t xml:space="preserve"> </w:t>
      </w:r>
      <w:proofErr w:type="spellStart"/>
      <w:r w:rsidRPr="00D37003">
        <w:rPr>
          <w:rFonts w:asciiTheme="minorHAnsi" w:hAnsiTheme="minorHAnsi"/>
          <w:sz w:val="22"/>
          <w:szCs w:val="22"/>
        </w:rPr>
        <w:t>patriae</w:t>
      </w:r>
      <w:proofErr w:type="spellEnd"/>
      <w:r w:rsidRPr="00D37003">
        <w:rPr>
          <w:rFonts w:asciiTheme="minorHAnsi" w:hAnsiTheme="minorHAnsi"/>
          <w:sz w:val="22"/>
          <w:szCs w:val="22"/>
        </w:rPr>
        <w:t>, courts assume custody and place youth in residential settings and/or make decisions about the youth in place of parents. (2) Courts buttress parental authority by requiring youth to live in their caretakers’ homes and follow adults’ rules, or else face removal or punishments. (3) Consistent with rehabilitation ideals, juvenile court personnel refer or order youth and family members to participate in family-oriented therapy, counseling, and education designed to increase parenting skills and improve family dynamics.</w:t>
      </w:r>
    </w:p>
    <w:p w:rsidR="008D34F7" w:rsidRPr="00D37003" w:rsidRDefault="00CF2679" w:rsidP="00D37003">
      <w:pPr>
        <w:rPr>
          <w:rFonts w:asciiTheme="minorHAnsi" w:hAnsiTheme="minorHAnsi" w:cs="Arial"/>
          <w:sz w:val="22"/>
          <w:szCs w:val="22"/>
        </w:rPr>
      </w:pPr>
      <w:r w:rsidRPr="00D37003">
        <w:rPr>
          <w:rFonts w:asciiTheme="minorHAnsi" w:hAnsiTheme="minorHAnsi"/>
          <w:sz w:val="22"/>
          <w:szCs w:val="22"/>
        </w:rPr>
        <w:t xml:space="preserve">@ Learning Objective: </w:t>
      </w:r>
      <w:r w:rsidRPr="00D37003">
        <w:rPr>
          <w:rFonts w:asciiTheme="minorHAnsi" w:hAnsiTheme="minorHAnsi" w:cs="Arial"/>
          <w:sz w:val="22"/>
          <w:szCs w:val="22"/>
        </w:rPr>
        <w:t>9-5: Describe how lower courts are arranged and their relationships</w:t>
      </w:r>
    </w:p>
    <w:p w:rsidR="00692D33" w:rsidRPr="00D37003" w:rsidRDefault="00692D33" w:rsidP="00D37003">
      <w:pPr>
        <w:rPr>
          <w:rFonts w:asciiTheme="minorHAnsi" w:hAnsiTheme="minorHAnsi" w:cs="Arial"/>
          <w:sz w:val="22"/>
          <w:szCs w:val="22"/>
        </w:rPr>
      </w:pPr>
    </w:p>
    <w:p w:rsidR="00692D33" w:rsidRPr="00D37003" w:rsidRDefault="00D37003" w:rsidP="00D37003">
      <w:pPr>
        <w:rPr>
          <w:rFonts w:asciiTheme="minorHAnsi" w:hAnsiTheme="minorHAnsi" w:cs="Arial"/>
          <w:color w:val="0000D4"/>
          <w:sz w:val="22"/>
          <w:szCs w:val="22"/>
          <w:u w:val="single"/>
        </w:rPr>
      </w:pPr>
      <w:r>
        <w:rPr>
          <w:rFonts w:asciiTheme="minorHAnsi" w:hAnsiTheme="minorHAnsi"/>
          <w:sz w:val="22"/>
          <w:szCs w:val="22"/>
        </w:rPr>
        <w:t>4</w:t>
      </w:r>
      <w:r w:rsidR="00692D33" w:rsidRPr="00D37003">
        <w:rPr>
          <w:rFonts w:asciiTheme="minorHAnsi" w:hAnsiTheme="minorHAnsi"/>
          <w:sz w:val="22"/>
          <w:szCs w:val="22"/>
        </w:rPr>
        <w:t xml:space="preserve">. Haynes, S. H., </w:t>
      </w:r>
      <w:proofErr w:type="spellStart"/>
      <w:r w:rsidR="00692D33" w:rsidRPr="00D37003">
        <w:rPr>
          <w:rFonts w:asciiTheme="minorHAnsi" w:hAnsiTheme="minorHAnsi"/>
          <w:sz w:val="22"/>
          <w:szCs w:val="22"/>
        </w:rPr>
        <w:t>Ruback</w:t>
      </w:r>
      <w:proofErr w:type="spellEnd"/>
      <w:r w:rsidR="00692D33" w:rsidRPr="00D37003">
        <w:rPr>
          <w:rFonts w:asciiTheme="minorHAnsi" w:hAnsiTheme="minorHAnsi"/>
          <w:sz w:val="22"/>
          <w:szCs w:val="22"/>
        </w:rPr>
        <w:t xml:space="preserve">, B., &amp; </w:t>
      </w:r>
      <w:proofErr w:type="spellStart"/>
      <w:r w:rsidR="00692D33" w:rsidRPr="00D37003">
        <w:rPr>
          <w:rFonts w:asciiTheme="minorHAnsi" w:hAnsiTheme="minorHAnsi"/>
          <w:sz w:val="22"/>
          <w:szCs w:val="22"/>
        </w:rPr>
        <w:t>Cusick</w:t>
      </w:r>
      <w:proofErr w:type="spellEnd"/>
      <w:r w:rsidR="00692D33" w:rsidRPr="00D37003">
        <w:rPr>
          <w:rFonts w:asciiTheme="minorHAnsi" w:hAnsiTheme="minorHAnsi"/>
          <w:sz w:val="22"/>
          <w:szCs w:val="22"/>
        </w:rPr>
        <w:t xml:space="preserve">, G.R. (2010). Courtroom workgroups and sentencing: the effects of similarity, proximity, and stability. </w:t>
      </w:r>
      <w:r w:rsidR="00692D33" w:rsidRPr="00D37003">
        <w:rPr>
          <w:rFonts w:asciiTheme="minorHAnsi" w:hAnsiTheme="minorHAnsi"/>
          <w:i/>
          <w:sz w:val="22"/>
          <w:szCs w:val="22"/>
        </w:rPr>
        <w:t>Crime and Delinquency</w:t>
      </w:r>
      <w:r w:rsidR="00692D33" w:rsidRPr="00D37003">
        <w:rPr>
          <w:rFonts w:asciiTheme="minorHAnsi" w:hAnsiTheme="minorHAnsi"/>
          <w:sz w:val="22"/>
          <w:szCs w:val="22"/>
        </w:rPr>
        <w:t xml:space="preserve">, 56, pp. 126–161. </w:t>
      </w:r>
      <w:proofErr w:type="spellStart"/>
      <w:proofErr w:type="gramStart"/>
      <w:r w:rsidR="00692D33" w:rsidRPr="00D37003">
        <w:rPr>
          <w:rFonts w:asciiTheme="minorHAnsi" w:hAnsiTheme="minorHAnsi"/>
          <w:sz w:val="22"/>
          <w:szCs w:val="22"/>
        </w:rPr>
        <w:t>doi</w:t>
      </w:r>
      <w:proofErr w:type="spellEnd"/>
      <w:proofErr w:type="gramEnd"/>
      <w:r w:rsidR="00692D33" w:rsidRPr="00D37003">
        <w:rPr>
          <w:rFonts w:asciiTheme="minorHAnsi" w:hAnsiTheme="minorHAnsi"/>
          <w:sz w:val="22"/>
          <w:szCs w:val="22"/>
        </w:rPr>
        <w:t>: 10.1177/0011128707313787 [</w:t>
      </w:r>
      <w:hyperlink r:id="rId10" w:history="1">
        <w:r w:rsidR="00692D33" w:rsidRPr="00D37003">
          <w:rPr>
            <w:rFonts w:asciiTheme="minorHAnsi" w:hAnsiTheme="minorHAnsi" w:cs="Arial"/>
            <w:color w:val="0000D4"/>
            <w:sz w:val="22"/>
            <w:szCs w:val="22"/>
            <w:u w:val="single"/>
          </w:rPr>
          <w:t>http://cad.sagepub.com/cgi/reprint/56/1/126?ijkey=0IXKKglTiTOYg&amp;keytype=ref&amp;siteid=spcad</w:t>
        </w:r>
      </w:hyperlink>
      <w:r w:rsidR="00692D33" w:rsidRPr="00D37003">
        <w:rPr>
          <w:rFonts w:asciiTheme="minorHAnsi" w:hAnsiTheme="minorHAnsi"/>
          <w:sz w:val="22"/>
          <w:szCs w:val="22"/>
        </w:rPr>
        <w:t>]</w:t>
      </w:r>
    </w:p>
    <w:p w:rsidR="00692D33" w:rsidRPr="00D37003" w:rsidRDefault="00692D33" w:rsidP="00D37003">
      <w:pPr>
        <w:pStyle w:val="ListParagraph"/>
        <w:spacing w:after="0" w:line="240" w:lineRule="auto"/>
        <w:ind w:left="0"/>
        <w:rPr>
          <w:rFonts w:cs="Times New Roman"/>
        </w:rPr>
      </w:pPr>
      <w:r w:rsidRPr="00D37003">
        <w:rPr>
          <w:rFonts w:cs="Times New Roman"/>
        </w:rPr>
        <w:t>Which aspect of courtroom workgroups was not examined in the study?</w:t>
      </w:r>
    </w:p>
    <w:p w:rsidR="00692D33" w:rsidRPr="00D37003" w:rsidRDefault="00692D33" w:rsidP="00D37003">
      <w:pPr>
        <w:rPr>
          <w:rFonts w:asciiTheme="minorHAnsi" w:hAnsiTheme="minorHAnsi" w:cs="Arial"/>
          <w:sz w:val="22"/>
          <w:szCs w:val="22"/>
        </w:rPr>
      </w:pPr>
      <w:r w:rsidRPr="00D37003">
        <w:rPr>
          <w:rFonts w:asciiTheme="minorHAnsi" w:hAnsiTheme="minorHAnsi"/>
          <w:sz w:val="22"/>
          <w:szCs w:val="22"/>
        </w:rPr>
        <w:t xml:space="preserve">@ Learning Objective: </w:t>
      </w:r>
      <w:r w:rsidRPr="00D37003">
        <w:rPr>
          <w:rFonts w:asciiTheme="minorHAnsi" w:hAnsiTheme="minorHAnsi" w:cs="Arial"/>
          <w:sz w:val="22"/>
          <w:szCs w:val="22"/>
        </w:rPr>
        <w:t>9-6: Explain the many actors in a courtroom, called the Courtroom Workgroup, and how they interact with other actors in the workgroup.</w:t>
      </w:r>
    </w:p>
    <w:p w:rsidR="00692D33" w:rsidRPr="00D37003" w:rsidRDefault="00692D33" w:rsidP="00D37003">
      <w:pPr>
        <w:pStyle w:val="ListParagraph"/>
        <w:spacing w:after="0" w:line="240" w:lineRule="auto"/>
        <w:ind w:left="0"/>
        <w:rPr>
          <w:rFonts w:cs="Times New Roman"/>
        </w:rPr>
      </w:pPr>
      <w:r w:rsidRPr="00D37003">
        <w:rPr>
          <w:rFonts w:cs="Times New Roman"/>
        </w:rPr>
        <w:t>a. Proximity</w:t>
      </w:r>
    </w:p>
    <w:p w:rsidR="00692D33" w:rsidRPr="00D37003" w:rsidRDefault="00692D33" w:rsidP="00D37003">
      <w:pPr>
        <w:pStyle w:val="ListParagraph"/>
        <w:spacing w:after="0" w:line="240" w:lineRule="auto"/>
        <w:ind w:left="0"/>
        <w:rPr>
          <w:rFonts w:cs="Times New Roman"/>
        </w:rPr>
      </w:pPr>
      <w:r w:rsidRPr="00D37003">
        <w:rPr>
          <w:rFonts w:cs="Times New Roman"/>
        </w:rPr>
        <w:t>b. Stability</w:t>
      </w:r>
    </w:p>
    <w:p w:rsidR="00692D33" w:rsidRPr="00D37003" w:rsidRDefault="00692D33" w:rsidP="00D37003">
      <w:pPr>
        <w:pStyle w:val="ListParagraph"/>
        <w:spacing w:after="0" w:line="240" w:lineRule="auto"/>
        <w:ind w:left="0"/>
        <w:rPr>
          <w:rFonts w:cs="Times New Roman"/>
        </w:rPr>
      </w:pPr>
      <w:r w:rsidRPr="00D37003">
        <w:rPr>
          <w:rFonts w:cs="Times New Roman"/>
        </w:rPr>
        <w:lastRenderedPageBreak/>
        <w:t>*c. Particularity</w:t>
      </w:r>
    </w:p>
    <w:p w:rsidR="00692D33" w:rsidRPr="00D37003" w:rsidRDefault="00692D33" w:rsidP="00D37003">
      <w:pPr>
        <w:pStyle w:val="ListParagraph"/>
        <w:spacing w:after="0" w:line="240" w:lineRule="auto"/>
        <w:ind w:left="0"/>
        <w:rPr>
          <w:rFonts w:cs="Times New Roman"/>
        </w:rPr>
      </w:pPr>
      <w:r w:rsidRPr="00D37003">
        <w:rPr>
          <w:rFonts w:cs="Times New Roman"/>
        </w:rPr>
        <w:t>d. Similarity</w:t>
      </w:r>
    </w:p>
    <w:p w:rsidR="00692D33" w:rsidRPr="00D37003" w:rsidRDefault="00692D33" w:rsidP="00D37003">
      <w:pPr>
        <w:pStyle w:val="ListParagraph"/>
        <w:spacing w:after="0" w:line="240" w:lineRule="auto"/>
        <w:ind w:left="0"/>
        <w:rPr>
          <w:rFonts w:cs="Times New Roman"/>
        </w:rPr>
      </w:pPr>
    </w:p>
    <w:p w:rsidR="00692D33" w:rsidRPr="00D37003" w:rsidRDefault="00D37003" w:rsidP="00D37003">
      <w:pPr>
        <w:rPr>
          <w:rFonts w:asciiTheme="minorHAnsi" w:hAnsiTheme="minorHAnsi" w:cs="Arial"/>
          <w:color w:val="0000D4"/>
          <w:sz w:val="22"/>
          <w:szCs w:val="22"/>
          <w:u w:val="single"/>
        </w:rPr>
      </w:pPr>
      <w:r>
        <w:rPr>
          <w:rFonts w:asciiTheme="minorHAnsi" w:hAnsiTheme="minorHAnsi"/>
          <w:sz w:val="22"/>
          <w:szCs w:val="22"/>
        </w:rPr>
        <w:t>5</w:t>
      </w:r>
      <w:r w:rsidR="00692D33" w:rsidRPr="00D37003">
        <w:rPr>
          <w:rFonts w:asciiTheme="minorHAnsi" w:hAnsiTheme="minorHAnsi"/>
          <w:sz w:val="22"/>
          <w:szCs w:val="22"/>
        </w:rPr>
        <w:t xml:space="preserve">. Haynes, S. H., </w:t>
      </w:r>
      <w:proofErr w:type="spellStart"/>
      <w:r w:rsidR="00692D33" w:rsidRPr="00D37003">
        <w:rPr>
          <w:rFonts w:asciiTheme="minorHAnsi" w:hAnsiTheme="minorHAnsi"/>
          <w:sz w:val="22"/>
          <w:szCs w:val="22"/>
        </w:rPr>
        <w:t>Ruback</w:t>
      </w:r>
      <w:proofErr w:type="spellEnd"/>
      <w:r w:rsidR="00692D33" w:rsidRPr="00D37003">
        <w:rPr>
          <w:rFonts w:asciiTheme="minorHAnsi" w:hAnsiTheme="minorHAnsi"/>
          <w:sz w:val="22"/>
          <w:szCs w:val="22"/>
        </w:rPr>
        <w:t xml:space="preserve">, B., &amp; </w:t>
      </w:r>
      <w:proofErr w:type="spellStart"/>
      <w:r w:rsidR="00692D33" w:rsidRPr="00D37003">
        <w:rPr>
          <w:rFonts w:asciiTheme="minorHAnsi" w:hAnsiTheme="minorHAnsi"/>
          <w:sz w:val="22"/>
          <w:szCs w:val="22"/>
        </w:rPr>
        <w:t>Cusick</w:t>
      </w:r>
      <w:proofErr w:type="spellEnd"/>
      <w:r w:rsidR="00692D33" w:rsidRPr="00D37003">
        <w:rPr>
          <w:rFonts w:asciiTheme="minorHAnsi" w:hAnsiTheme="minorHAnsi"/>
          <w:sz w:val="22"/>
          <w:szCs w:val="22"/>
        </w:rPr>
        <w:t xml:space="preserve">, G.R. (2010). Courtroom workgroups and sentencing: the effects of similarity, proximity, and stability. </w:t>
      </w:r>
      <w:r w:rsidR="00692D33" w:rsidRPr="00D37003">
        <w:rPr>
          <w:rFonts w:asciiTheme="minorHAnsi" w:hAnsiTheme="minorHAnsi"/>
          <w:i/>
          <w:sz w:val="22"/>
          <w:szCs w:val="22"/>
        </w:rPr>
        <w:t>Crime and Delinquency</w:t>
      </w:r>
      <w:r w:rsidR="00692D33" w:rsidRPr="00D37003">
        <w:rPr>
          <w:rFonts w:asciiTheme="minorHAnsi" w:hAnsiTheme="minorHAnsi"/>
          <w:sz w:val="22"/>
          <w:szCs w:val="22"/>
        </w:rPr>
        <w:t xml:space="preserve">, 56, pp. 126–161. </w:t>
      </w:r>
      <w:proofErr w:type="spellStart"/>
      <w:proofErr w:type="gramStart"/>
      <w:r w:rsidR="00692D33" w:rsidRPr="00D37003">
        <w:rPr>
          <w:rFonts w:asciiTheme="minorHAnsi" w:hAnsiTheme="minorHAnsi"/>
          <w:sz w:val="22"/>
          <w:szCs w:val="22"/>
        </w:rPr>
        <w:t>doi</w:t>
      </w:r>
      <w:proofErr w:type="spellEnd"/>
      <w:proofErr w:type="gramEnd"/>
      <w:r w:rsidR="00692D33" w:rsidRPr="00D37003">
        <w:rPr>
          <w:rFonts w:asciiTheme="minorHAnsi" w:hAnsiTheme="minorHAnsi"/>
          <w:sz w:val="22"/>
          <w:szCs w:val="22"/>
        </w:rPr>
        <w:t>: 10.1177/0011128707313787 [</w:t>
      </w:r>
      <w:hyperlink r:id="rId11" w:history="1">
        <w:r w:rsidR="00692D33" w:rsidRPr="00D37003">
          <w:rPr>
            <w:rFonts w:asciiTheme="minorHAnsi" w:hAnsiTheme="minorHAnsi" w:cs="Arial"/>
            <w:color w:val="0000D4"/>
            <w:sz w:val="22"/>
            <w:szCs w:val="22"/>
            <w:u w:val="single"/>
          </w:rPr>
          <w:t>http://cad.sagepub.com/cgi/reprint/56/1/126?ijkey=0IXKKglTiTOYg&amp;keytype=ref&amp;siteid=spcad</w:t>
        </w:r>
      </w:hyperlink>
      <w:r w:rsidR="00692D33" w:rsidRPr="00D37003">
        <w:rPr>
          <w:rFonts w:asciiTheme="minorHAnsi" w:hAnsiTheme="minorHAnsi"/>
          <w:sz w:val="22"/>
          <w:szCs w:val="22"/>
        </w:rPr>
        <w:t>]</w:t>
      </w:r>
    </w:p>
    <w:p w:rsidR="00692D33" w:rsidRPr="00D37003" w:rsidRDefault="00692D33" w:rsidP="00D37003">
      <w:pPr>
        <w:pStyle w:val="ListParagraph"/>
        <w:spacing w:after="0" w:line="240" w:lineRule="auto"/>
        <w:ind w:left="0"/>
        <w:rPr>
          <w:rFonts w:cs="Times New Roman"/>
        </w:rPr>
      </w:pPr>
      <w:r w:rsidRPr="00D37003">
        <w:rPr>
          <w:rFonts w:cs="Times New Roman"/>
        </w:rPr>
        <w:t>Most studies that have examined the effects of decision-maker characteristics on sentencing outcomes have focused primarily on</w:t>
      </w:r>
    </w:p>
    <w:p w:rsidR="00692D33" w:rsidRPr="00D37003" w:rsidRDefault="00692D33" w:rsidP="00D37003">
      <w:pPr>
        <w:rPr>
          <w:rFonts w:asciiTheme="minorHAnsi" w:hAnsiTheme="minorHAnsi" w:cs="Arial"/>
          <w:sz w:val="22"/>
          <w:szCs w:val="22"/>
        </w:rPr>
      </w:pPr>
      <w:r w:rsidRPr="00D37003">
        <w:rPr>
          <w:rFonts w:asciiTheme="minorHAnsi" w:hAnsiTheme="minorHAnsi"/>
          <w:sz w:val="22"/>
          <w:szCs w:val="22"/>
        </w:rPr>
        <w:t xml:space="preserve">@ Learning Objective: </w:t>
      </w:r>
      <w:r w:rsidRPr="00D37003">
        <w:rPr>
          <w:rFonts w:asciiTheme="minorHAnsi" w:hAnsiTheme="minorHAnsi" w:cs="Arial"/>
          <w:sz w:val="22"/>
          <w:szCs w:val="22"/>
        </w:rPr>
        <w:t>9-6: Explain the many actors in a courtroom, called the Courtroom Workgroup, and how they interact with other actors in the workgroup.</w:t>
      </w:r>
    </w:p>
    <w:p w:rsidR="00692D33" w:rsidRPr="00D37003" w:rsidRDefault="00692D33" w:rsidP="00D37003">
      <w:pPr>
        <w:pStyle w:val="ListParagraph"/>
        <w:spacing w:after="0" w:line="240" w:lineRule="auto"/>
        <w:ind w:left="0"/>
        <w:rPr>
          <w:rFonts w:cs="Times New Roman"/>
        </w:rPr>
      </w:pPr>
      <w:proofErr w:type="gramStart"/>
      <w:r w:rsidRPr="00D37003">
        <w:rPr>
          <w:rFonts w:cs="Times New Roman"/>
        </w:rPr>
        <w:t>a</w:t>
      </w:r>
      <w:proofErr w:type="gramEnd"/>
      <w:r w:rsidRPr="00D37003">
        <w:rPr>
          <w:rFonts w:cs="Times New Roman"/>
        </w:rPr>
        <w:t>. district attorneys.</w:t>
      </w:r>
    </w:p>
    <w:p w:rsidR="00692D33" w:rsidRPr="00D37003" w:rsidRDefault="00692D33" w:rsidP="00D37003">
      <w:pPr>
        <w:pStyle w:val="ListParagraph"/>
        <w:tabs>
          <w:tab w:val="left" w:pos="1440"/>
        </w:tabs>
        <w:spacing w:after="0" w:line="240" w:lineRule="auto"/>
        <w:ind w:left="0"/>
        <w:rPr>
          <w:rFonts w:cs="Times New Roman"/>
        </w:rPr>
      </w:pPr>
      <w:proofErr w:type="gramStart"/>
      <w:r w:rsidRPr="00D37003">
        <w:rPr>
          <w:rFonts w:cs="Times New Roman"/>
        </w:rPr>
        <w:t>*b. judges.</w:t>
      </w:r>
      <w:proofErr w:type="gramEnd"/>
      <w:r w:rsidRPr="00D37003">
        <w:rPr>
          <w:rFonts w:cs="Times New Roman"/>
        </w:rPr>
        <w:tab/>
      </w:r>
    </w:p>
    <w:p w:rsidR="00692D33" w:rsidRPr="00D37003" w:rsidRDefault="00692D33" w:rsidP="00D37003">
      <w:pPr>
        <w:pStyle w:val="ListParagraph"/>
        <w:tabs>
          <w:tab w:val="left" w:pos="1440"/>
        </w:tabs>
        <w:spacing w:after="0" w:line="240" w:lineRule="auto"/>
        <w:ind w:left="0"/>
        <w:rPr>
          <w:rFonts w:cs="Times New Roman"/>
        </w:rPr>
      </w:pPr>
      <w:proofErr w:type="gramStart"/>
      <w:r w:rsidRPr="00D37003">
        <w:rPr>
          <w:rFonts w:cs="Times New Roman"/>
        </w:rPr>
        <w:t>c</w:t>
      </w:r>
      <w:proofErr w:type="gramEnd"/>
      <w:r w:rsidRPr="00D37003">
        <w:rPr>
          <w:rFonts w:cs="Times New Roman"/>
        </w:rPr>
        <w:t>. offenders.</w:t>
      </w:r>
    </w:p>
    <w:p w:rsidR="00692D33" w:rsidRPr="00D37003" w:rsidRDefault="00692D33" w:rsidP="00D37003">
      <w:pPr>
        <w:pStyle w:val="ListParagraph"/>
        <w:tabs>
          <w:tab w:val="left" w:pos="1440"/>
        </w:tabs>
        <w:spacing w:after="0" w:line="240" w:lineRule="auto"/>
        <w:ind w:left="0"/>
        <w:rPr>
          <w:rFonts w:cs="Times New Roman"/>
        </w:rPr>
      </w:pPr>
      <w:proofErr w:type="gramStart"/>
      <w:r w:rsidRPr="00D37003">
        <w:rPr>
          <w:rFonts w:cs="Times New Roman"/>
        </w:rPr>
        <w:t>d</w:t>
      </w:r>
      <w:proofErr w:type="gramEnd"/>
      <w:r w:rsidRPr="00D37003">
        <w:rPr>
          <w:rFonts w:cs="Times New Roman"/>
        </w:rPr>
        <w:t>. defense attorneys.</w:t>
      </w:r>
    </w:p>
    <w:p w:rsidR="00692D33" w:rsidRPr="00D37003" w:rsidRDefault="00692D33" w:rsidP="00D37003">
      <w:pPr>
        <w:pStyle w:val="ListParagraph"/>
        <w:tabs>
          <w:tab w:val="left" w:pos="1440"/>
        </w:tabs>
        <w:spacing w:after="0" w:line="240" w:lineRule="auto"/>
        <w:ind w:left="0"/>
        <w:rPr>
          <w:rFonts w:cs="Times New Roman"/>
        </w:rPr>
      </w:pPr>
    </w:p>
    <w:p w:rsidR="00692D33" w:rsidRPr="00D37003" w:rsidRDefault="00692D33" w:rsidP="00D37003">
      <w:pPr>
        <w:pStyle w:val="ListParagraph"/>
        <w:tabs>
          <w:tab w:val="left" w:pos="1440"/>
        </w:tabs>
        <w:spacing w:after="0" w:line="240" w:lineRule="auto"/>
        <w:ind w:left="0"/>
        <w:rPr>
          <w:rFonts w:cs="Times New Roman"/>
        </w:rPr>
      </w:pPr>
      <w:r w:rsidRPr="00D37003">
        <w:rPr>
          <w:rFonts w:cs="Times New Roman"/>
        </w:rPr>
        <w:t>Type: E</w:t>
      </w:r>
    </w:p>
    <w:p w:rsidR="00692D33" w:rsidRPr="00D37003" w:rsidRDefault="00D37003" w:rsidP="00D37003">
      <w:pPr>
        <w:rPr>
          <w:rFonts w:asciiTheme="minorHAnsi" w:hAnsiTheme="minorHAnsi" w:cs="Arial"/>
          <w:color w:val="0000D4"/>
          <w:sz w:val="22"/>
          <w:szCs w:val="22"/>
          <w:u w:val="single"/>
        </w:rPr>
      </w:pPr>
      <w:r>
        <w:rPr>
          <w:rFonts w:asciiTheme="minorHAnsi" w:hAnsiTheme="minorHAnsi"/>
          <w:sz w:val="22"/>
          <w:szCs w:val="22"/>
        </w:rPr>
        <w:t>6</w:t>
      </w:r>
      <w:bookmarkStart w:id="0" w:name="_GoBack"/>
      <w:bookmarkEnd w:id="0"/>
      <w:r w:rsidR="00692D33" w:rsidRPr="00D37003">
        <w:rPr>
          <w:rFonts w:asciiTheme="minorHAnsi" w:hAnsiTheme="minorHAnsi"/>
          <w:sz w:val="22"/>
          <w:szCs w:val="22"/>
        </w:rPr>
        <w:t xml:space="preserve">. Haynes, S. H., </w:t>
      </w:r>
      <w:proofErr w:type="spellStart"/>
      <w:r w:rsidR="00692D33" w:rsidRPr="00D37003">
        <w:rPr>
          <w:rFonts w:asciiTheme="minorHAnsi" w:hAnsiTheme="minorHAnsi"/>
          <w:sz w:val="22"/>
          <w:szCs w:val="22"/>
        </w:rPr>
        <w:t>Ruback</w:t>
      </w:r>
      <w:proofErr w:type="spellEnd"/>
      <w:r w:rsidR="00692D33" w:rsidRPr="00D37003">
        <w:rPr>
          <w:rFonts w:asciiTheme="minorHAnsi" w:hAnsiTheme="minorHAnsi"/>
          <w:sz w:val="22"/>
          <w:szCs w:val="22"/>
        </w:rPr>
        <w:t xml:space="preserve">, B., &amp; </w:t>
      </w:r>
      <w:proofErr w:type="spellStart"/>
      <w:r w:rsidR="00692D33" w:rsidRPr="00D37003">
        <w:rPr>
          <w:rFonts w:asciiTheme="minorHAnsi" w:hAnsiTheme="minorHAnsi"/>
          <w:sz w:val="22"/>
          <w:szCs w:val="22"/>
        </w:rPr>
        <w:t>Cusick</w:t>
      </w:r>
      <w:proofErr w:type="spellEnd"/>
      <w:r w:rsidR="00692D33" w:rsidRPr="00D37003">
        <w:rPr>
          <w:rFonts w:asciiTheme="minorHAnsi" w:hAnsiTheme="minorHAnsi"/>
          <w:sz w:val="22"/>
          <w:szCs w:val="22"/>
        </w:rPr>
        <w:t xml:space="preserve">, G.R. (2010). Courtroom workgroups and sentencing: the effects of similarity, proximity, and stability. </w:t>
      </w:r>
      <w:r w:rsidR="00692D33" w:rsidRPr="00D37003">
        <w:rPr>
          <w:rFonts w:asciiTheme="minorHAnsi" w:hAnsiTheme="minorHAnsi"/>
          <w:i/>
          <w:sz w:val="22"/>
          <w:szCs w:val="22"/>
        </w:rPr>
        <w:t>Crime and Delinquency</w:t>
      </w:r>
      <w:r w:rsidR="00692D33" w:rsidRPr="00D37003">
        <w:rPr>
          <w:rFonts w:asciiTheme="minorHAnsi" w:hAnsiTheme="minorHAnsi"/>
          <w:sz w:val="22"/>
          <w:szCs w:val="22"/>
        </w:rPr>
        <w:t xml:space="preserve">, 56, pp. 126–161. </w:t>
      </w:r>
      <w:proofErr w:type="spellStart"/>
      <w:proofErr w:type="gramStart"/>
      <w:r w:rsidR="00692D33" w:rsidRPr="00D37003">
        <w:rPr>
          <w:rFonts w:asciiTheme="minorHAnsi" w:hAnsiTheme="minorHAnsi"/>
          <w:sz w:val="22"/>
          <w:szCs w:val="22"/>
        </w:rPr>
        <w:t>doi</w:t>
      </w:r>
      <w:proofErr w:type="spellEnd"/>
      <w:proofErr w:type="gramEnd"/>
      <w:r w:rsidR="00692D33" w:rsidRPr="00D37003">
        <w:rPr>
          <w:rFonts w:asciiTheme="minorHAnsi" w:hAnsiTheme="minorHAnsi"/>
          <w:sz w:val="22"/>
          <w:szCs w:val="22"/>
        </w:rPr>
        <w:t>: 10.1177/0011128707313787 [</w:t>
      </w:r>
      <w:hyperlink r:id="rId12" w:history="1">
        <w:r w:rsidR="00692D33" w:rsidRPr="00D37003">
          <w:rPr>
            <w:rFonts w:asciiTheme="minorHAnsi" w:hAnsiTheme="minorHAnsi" w:cs="Arial"/>
            <w:color w:val="0000D4"/>
            <w:sz w:val="22"/>
            <w:szCs w:val="22"/>
            <w:u w:val="single"/>
          </w:rPr>
          <w:t>http://cad.sagepub.com/cgi/reprint/56/1/126?ijkey=0IXKKglTiTOYg&amp;keytype=ref&amp;siteid=spcad</w:t>
        </w:r>
      </w:hyperlink>
      <w:r w:rsidR="00692D33" w:rsidRPr="00D37003">
        <w:rPr>
          <w:rFonts w:asciiTheme="minorHAnsi" w:hAnsiTheme="minorHAnsi"/>
          <w:sz w:val="22"/>
          <w:szCs w:val="22"/>
        </w:rPr>
        <w:t>]</w:t>
      </w:r>
    </w:p>
    <w:p w:rsidR="00692D33" w:rsidRPr="00D37003" w:rsidRDefault="00692D33" w:rsidP="00D37003">
      <w:pPr>
        <w:pStyle w:val="ListParagraph"/>
        <w:tabs>
          <w:tab w:val="left" w:pos="1440"/>
        </w:tabs>
        <w:spacing w:after="0" w:line="240" w:lineRule="auto"/>
        <w:ind w:left="0"/>
        <w:rPr>
          <w:rFonts w:cs="Times New Roman"/>
        </w:rPr>
      </w:pPr>
      <w:r w:rsidRPr="00D37003">
        <w:rPr>
          <w:rFonts w:cs="Times New Roman"/>
        </w:rPr>
        <w:t>Describe the demographic characteristics of most workgroup members in the study.</w:t>
      </w:r>
    </w:p>
    <w:p w:rsidR="00692D33" w:rsidRPr="00D37003" w:rsidRDefault="00692D33" w:rsidP="00D37003">
      <w:pPr>
        <w:pStyle w:val="ListParagraph"/>
        <w:tabs>
          <w:tab w:val="left" w:pos="1440"/>
        </w:tabs>
        <w:spacing w:after="0" w:line="240" w:lineRule="auto"/>
        <w:ind w:left="0"/>
        <w:rPr>
          <w:rFonts w:cs="Times New Roman"/>
        </w:rPr>
      </w:pPr>
      <w:proofErr w:type="gramStart"/>
      <w:r w:rsidRPr="00D37003">
        <w:rPr>
          <w:rFonts w:cs="Times New Roman"/>
        </w:rPr>
        <w:t>*a.</w:t>
      </w:r>
      <w:proofErr w:type="gramEnd"/>
      <w:r w:rsidRPr="00D37003">
        <w:rPr>
          <w:rFonts w:cs="Times New Roman"/>
        </w:rPr>
        <w:t xml:space="preserve"> Most were white, male, older, and graduates of Pennsylvania schools.</w:t>
      </w:r>
    </w:p>
    <w:p w:rsidR="00692D33" w:rsidRPr="00D37003" w:rsidRDefault="00692D33" w:rsidP="00D37003">
      <w:pPr>
        <w:rPr>
          <w:rFonts w:asciiTheme="minorHAnsi" w:hAnsiTheme="minorHAnsi" w:cs="Arial"/>
          <w:sz w:val="22"/>
          <w:szCs w:val="22"/>
        </w:rPr>
      </w:pPr>
      <w:r w:rsidRPr="00D37003">
        <w:rPr>
          <w:rFonts w:asciiTheme="minorHAnsi" w:hAnsiTheme="minorHAnsi"/>
          <w:sz w:val="22"/>
          <w:szCs w:val="22"/>
        </w:rPr>
        <w:t xml:space="preserve">@ Learning Objective: </w:t>
      </w:r>
      <w:r w:rsidRPr="00D37003">
        <w:rPr>
          <w:rFonts w:asciiTheme="minorHAnsi" w:hAnsiTheme="minorHAnsi" w:cs="Arial"/>
          <w:sz w:val="22"/>
          <w:szCs w:val="22"/>
        </w:rPr>
        <w:t>9-6: Explain the many actors in a courtroom, called the Courtroom Workgroup, and how they interact with other actors in the workgroup.</w:t>
      </w:r>
    </w:p>
    <w:p w:rsidR="00692D33" w:rsidRPr="00D1432B" w:rsidRDefault="00692D33" w:rsidP="00CF2679">
      <w:pPr>
        <w:rPr>
          <w:rFonts w:ascii="Calibri" w:hAnsi="Calibri" w:cs="Arial"/>
          <w:sz w:val="20"/>
          <w:szCs w:val="20"/>
        </w:rPr>
      </w:pPr>
    </w:p>
    <w:sectPr w:rsidR="00692D33" w:rsidRPr="00D1432B">
      <w:headerReference w:type="defaul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017FE" w:rsidRDefault="001017FE" w:rsidP="008B59A4">
      <w:r>
        <w:separator/>
      </w:r>
    </w:p>
  </w:endnote>
  <w:endnote w:type="continuationSeparator" w:id="0">
    <w:p w:rsidR="001017FE" w:rsidRDefault="001017FE" w:rsidP="008B59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017FE" w:rsidRDefault="001017FE" w:rsidP="008B59A4">
      <w:r>
        <w:separator/>
      </w:r>
    </w:p>
  </w:footnote>
  <w:footnote w:type="continuationSeparator" w:id="0">
    <w:p w:rsidR="001017FE" w:rsidRDefault="001017FE" w:rsidP="008B59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59A4" w:rsidRDefault="008B59A4" w:rsidP="008B59A4">
    <w:pPr>
      <w:pStyle w:val="Header"/>
    </w:pPr>
    <w:r>
      <w:t>Payne, Introduction to Criminal Justice</w:t>
    </w:r>
  </w:p>
  <w:p w:rsidR="008B59A4" w:rsidRDefault="007C3783" w:rsidP="008B59A4">
    <w:pPr>
      <w:pStyle w:val="Header"/>
    </w:pPr>
    <w:r>
      <w:t xml:space="preserve">Chapter </w:t>
    </w:r>
    <w:r w:rsidR="00CF2679">
      <w:t>9</w:t>
    </w:r>
    <w:r w:rsidR="008B59A4">
      <w:t>; Journal Article Questions</w:t>
    </w:r>
  </w:p>
  <w:p w:rsidR="008B59A4" w:rsidRDefault="008B59A4">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B59A4"/>
    <w:rsid w:val="001017FE"/>
    <w:rsid w:val="001370DD"/>
    <w:rsid w:val="00153474"/>
    <w:rsid w:val="001D4D3F"/>
    <w:rsid w:val="002155F0"/>
    <w:rsid w:val="00294440"/>
    <w:rsid w:val="003D11F3"/>
    <w:rsid w:val="004A3CB4"/>
    <w:rsid w:val="004A50CD"/>
    <w:rsid w:val="00535FCA"/>
    <w:rsid w:val="0054196B"/>
    <w:rsid w:val="005676E3"/>
    <w:rsid w:val="00614750"/>
    <w:rsid w:val="00666B20"/>
    <w:rsid w:val="00692D33"/>
    <w:rsid w:val="006A2F6B"/>
    <w:rsid w:val="006F7521"/>
    <w:rsid w:val="00736C08"/>
    <w:rsid w:val="007C3783"/>
    <w:rsid w:val="00812DF8"/>
    <w:rsid w:val="0081419D"/>
    <w:rsid w:val="008565DF"/>
    <w:rsid w:val="008B59A4"/>
    <w:rsid w:val="008D34F7"/>
    <w:rsid w:val="00983FE1"/>
    <w:rsid w:val="009D12D4"/>
    <w:rsid w:val="00A87301"/>
    <w:rsid w:val="00AD2E65"/>
    <w:rsid w:val="00B3769C"/>
    <w:rsid w:val="00BE6FBD"/>
    <w:rsid w:val="00CF2679"/>
    <w:rsid w:val="00D10453"/>
    <w:rsid w:val="00D1432B"/>
    <w:rsid w:val="00D37003"/>
    <w:rsid w:val="00DE133C"/>
    <w:rsid w:val="00DF2AA2"/>
    <w:rsid w:val="00E0555F"/>
    <w:rsid w:val="00F019E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imes New Roman" w:hAnsiTheme="minorHAnsi" w:cstheme="minorHAns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E133C"/>
    <w:pPr>
      <w:spacing w:after="0" w:line="240" w:lineRule="auto"/>
    </w:pPr>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B59A4"/>
    <w:rPr>
      <w:rFonts w:cs="Times New Roman"/>
      <w:color w:val="0000FF" w:themeColor="hyperlink"/>
      <w:u w:val="single"/>
    </w:rPr>
  </w:style>
  <w:style w:type="paragraph" w:styleId="Header">
    <w:name w:val="header"/>
    <w:basedOn w:val="Normal"/>
    <w:link w:val="HeaderChar"/>
    <w:uiPriority w:val="99"/>
    <w:unhideWhenUsed/>
    <w:rsid w:val="008B59A4"/>
    <w:pPr>
      <w:tabs>
        <w:tab w:val="center" w:pos="4680"/>
        <w:tab w:val="right" w:pos="9360"/>
      </w:tabs>
    </w:pPr>
    <w:rPr>
      <w:rFonts w:eastAsiaTheme="minorEastAsia"/>
      <w:szCs w:val="22"/>
      <w:lang w:eastAsia="zh-CN"/>
    </w:rPr>
  </w:style>
  <w:style w:type="character" w:customStyle="1" w:styleId="HeaderChar">
    <w:name w:val="Header Char"/>
    <w:basedOn w:val="DefaultParagraphFont"/>
    <w:link w:val="Header"/>
    <w:uiPriority w:val="99"/>
    <w:locked/>
    <w:rsid w:val="008B59A4"/>
    <w:rPr>
      <w:rFonts w:ascii="Times New Roman" w:eastAsiaTheme="minorEastAsia" w:hAnsi="Times New Roman" w:cs="Times New Roman"/>
      <w:sz w:val="24"/>
      <w:lang w:val="x-none" w:eastAsia="zh-CN"/>
    </w:rPr>
  </w:style>
  <w:style w:type="paragraph" w:styleId="Footer">
    <w:name w:val="footer"/>
    <w:basedOn w:val="Normal"/>
    <w:link w:val="FooterChar"/>
    <w:uiPriority w:val="99"/>
    <w:unhideWhenUsed/>
    <w:rsid w:val="008B59A4"/>
    <w:pPr>
      <w:tabs>
        <w:tab w:val="center" w:pos="4680"/>
        <w:tab w:val="right" w:pos="9360"/>
      </w:tabs>
    </w:pPr>
    <w:rPr>
      <w:rFonts w:eastAsiaTheme="minorEastAsia"/>
      <w:szCs w:val="22"/>
      <w:lang w:eastAsia="zh-CN"/>
    </w:rPr>
  </w:style>
  <w:style w:type="character" w:customStyle="1" w:styleId="FooterChar">
    <w:name w:val="Footer Char"/>
    <w:basedOn w:val="DefaultParagraphFont"/>
    <w:link w:val="Footer"/>
    <w:uiPriority w:val="99"/>
    <w:locked/>
    <w:rsid w:val="008B59A4"/>
    <w:rPr>
      <w:rFonts w:ascii="Times New Roman" w:eastAsiaTheme="minorEastAsia" w:hAnsi="Times New Roman" w:cs="Times New Roman"/>
      <w:sz w:val="24"/>
      <w:lang w:val="x-none" w:eastAsia="zh-CN"/>
    </w:rPr>
  </w:style>
  <w:style w:type="character" w:customStyle="1" w:styleId="slug-doi">
    <w:name w:val="slug-doi"/>
    <w:basedOn w:val="DefaultParagraphFont"/>
    <w:rsid w:val="00614750"/>
    <w:rPr>
      <w:rFonts w:cs="Times New Roman"/>
    </w:rPr>
  </w:style>
  <w:style w:type="paragraph" w:styleId="ListParagraph">
    <w:name w:val="List Paragraph"/>
    <w:basedOn w:val="Normal"/>
    <w:uiPriority w:val="34"/>
    <w:qFormat/>
    <w:rsid w:val="00E0555F"/>
    <w:pPr>
      <w:spacing w:after="200" w:line="276" w:lineRule="auto"/>
      <w:ind w:left="720"/>
      <w:contextualSpacing/>
    </w:pPr>
    <w:rPr>
      <w:rFonts w:asciiTheme="minorHAnsi" w:eastAsiaTheme="minorEastAsia" w:hAnsiTheme="minorHAnsi" w:cstheme="minorBidi"/>
      <w:sz w:val="22"/>
      <w:szCs w:val="22"/>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imes New Roman" w:hAnsiTheme="minorHAnsi" w:cstheme="minorHAns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E133C"/>
    <w:pPr>
      <w:spacing w:after="0" w:line="240" w:lineRule="auto"/>
    </w:pPr>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B59A4"/>
    <w:rPr>
      <w:rFonts w:cs="Times New Roman"/>
      <w:color w:val="0000FF" w:themeColor="hyperlink"/>
      <w:u w:val="single"/>
    </w:rPr>
  </w:style>
  <w:style w:type="paragraph" w:styleId="Header">
    <w:name w:val="header"/>
    <w:basedOn w:val="Normal"/>
    <w:link w:val="HeaderChar"/>
    <w:uiPriority w:val="99"/>
    <w:unhideWhenUsed/>
    <w:rsid w:val="008B59A4"/>
    <w:pPr>
      <w:tabs>
        <w:tab w:val="center" w:pos="4680"/>
        <w:tab w:val="right" w:pos="9360"/>
      </w:tabs>
    </w:pPr>
    <w:rPr>
      <w:rFonts w:eastAsiaTheme="minorEastAsia"/>
      <w:szCs w:val="22"/>
      <w:lang w:eastAsia="zh-CN"/>
    </w:rPr>
  </w:style>
  <w:style w:type="character" w:customStyle="1" w:styleId="HeaderChar">
    <w:name w:val="Header Char"/>
    <w:basedOn w:val="DefaultParagraphFont"/>
    <w:link w:val="Header"/>
    <w:uiPriority w:val="99"/>
    <w:locked/>
    <w:rsid w:val="008B59A4"/>
    <w:rPr>
      <w:rFonts w:ascii="Times New Roman" w:eastAsiaTheme="minorEastAsia" w:hAnsi="Times New Roman" w:cs="Times New Roman"/>
      <w:sz w:val="24"/>
      <w:lang w:val="x-none" w:eastAsia="zh-CN"/>
    </w:rPr>
  </w:style>
  <w:style w:type="paragraph" w:styleId="Footer">
    <w:name w:val="footer"/>
    <w:basedOn w:val="Normal"/>
    <w:link w:val="FooterChar"/>
    <w:uiPriority w:val="99"/>
    <w:unhideWhenUsed/>
    <w:rsid w:val="008B59A4"/>
    <w:pPr>
      <w:tabs>
        <w:tab w:val="center" w:pos="4680"/>
        <w:tab w:val="right" w:pos="9360"/>
      </w:tabs>
    </w:pPr>
    <w:rPr>
      <w:rFonts w:eastAsiaTheme="minorEastAsia"/>
      <w:szCs w:val="22"/>
      <w:lang w:eastAsia="zh-CN"/>
    </w:rPr>
  </w:style>
  <w:style w:type="character" w:customStyle="1" w:styleId="FooterChar">
    <w:name w:val="Footer Char"/>
    <w:basedOn w:val="DefaultParagraphFont"/>
    <w:link w:val="Footer"/>
    <w:uiPriority w:val="99"/>
    <w:locked/>
    <w:rsid w:val="008B59A4"/>
    <w:rPr>
      <w:rFonts w:ascii="Times New Roman" w:eastAsiaTheme="minorEastAsia" w:hAnsi="Times New Roman" w:cs="Times New Roman"/>
      <w:sz w:val="24"/>
      <w:lang w:val="x-none" w:eastAsia="zh-CN"/>
    </w:rPr>
  </w:style>
  <w:style w:type="character" w:customStyle="1" w:styleId="slug-doi">
    <w:name w:val="slug-doi"/>
    <w:basedOn w:val="DefaultParagraphFont"/>
    <w:rsid w:val="00614750"/>
    <w:rPr>
      <w:rFonts w:cs="Times New Roman"/>
    </w:rPr>
  </w:style>
  <w:style w:type="paragraph" w:styleId="ListParagraph">
    <w:name w:val="List Paragraph"/>
    <w:basedOn w:val="Normal"/>
    <w:uiPriority w:val="34"/>
    <w:qFormat/>
    <w:rsid w:val="00E0555F"/>
    <w:pPr>
      <w:spacing w:after="200" w:line="276" w:lineRule="auto"/>
      <w:ind w:left="720"/>
      <w:contextualSpacing/>
    </w:pPr>
    <w:rPr>
      <w:rFonts w:asciiTheme="minorHAnsi" w:eastAsiaTheme="minorEastAsia" w:hAnsiTheme="minorHAnsi" w:cstheme="minorBidi"/>
      <w:sz w:val="22"/>
      <w:szCs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6747239">
      <w:bodyDiv w:val="1"/>
      <w:marLeft w:val="0"/>
      <w:marRight w:val="0"/>
      <w:marTop w:val="0"/>
      <w:marBottom w:val="0"/>
      <w:divBdr>
        <w:top w:val="none" w:sz="0" w:space="0" w:color="auto"/>
        <w:left w:val="none" w:sz="0" w:space="0" w:color="auto"/>
        <w:bottom w:val="none" w:sz="0" w:space="0" w:color="auto"/>
        <w:right w:val="none" w:sz="0" w:space="0" w:color="auto"/>
      </w:divBdr>
    </w:div>
    <w:div w:id="1239443300">
      <w:bodyDiv w:val="1"/>
      <w:marLeft w:val="0"/>
      <w:marRight w:val="0"/>
      <w:marTop w:val="0"/>
      <w:marBottom w:val="0"/>
      <w:divBdr>
        <w:top w:val="none" w:sz="0" w:space="0" w:color="auto"/>
        <w:left w:val="none" w:sz="0" w:space="0" w:color="auto"/>
        <w:bottom w:val="none" w:sz="0" w:space="0" w:color="auto"/>
        <w:right w:val="none" w:sz="0" w:space="0" w:color="auto"/>
      </w:divBdr>
    </w:div>
    <w:div w:id="1388072994">
      <w:marLeft w:val="0"/>
      <w:marRight w:val="0"/>
      <w:marTop w:val="0"/>
      <w:marBottom w:val="0"/>
      <w:divBdr>
        <w:top w:val="none" w:sz="0" w:space="0" w:color="auto"/>
        <w:left w:val="none" w:sz="0" w:space="0" w:color="auto"/>
        <w:bottom w:val="none" w:sz="0" w:space="0" w:color="auto"/>
        <w:right w:val="none" w:sz="0" w:space="0" w:color="auto"/>
      </w:divBdr>
    </w:div>
    <w:div w:id="1388072995">
      <w:marLeft w:val="0"/>
      <w:marRight w:val="0"/>
      <w:marTop w:val="0"/>
      <w:marBottom w:val="0"/>
      <w:divBdr>
        <w:top w:val="none" w:sz="0" w:space="0" w:color="auto"/>
        <w:left w:val="none" w:sz="0" w:space="0" w:color="auto"/>
        <w:bottom w:val="none" w:sz="0" w:space="0" w:color="auto"/>
        <w:right w:val="none" w:sz="0" w:space="0" w:color="auto"/>
      </w:divBdr>
    </w:div>
    <w:div w:id="1388072996">
      <w:marLeft w:val="0"/>
      <w:marRight w:val="0"/>
      <w:marTop w:val="0"/>
      <w:marBottom w:val="0"/>
      <w:divBdr>
        <w:top w:val="none" w:sz="0" w:space="0" w:color="auto"/>
        <w:left w:val="none" w:sz="0" w:space="0" w:color="auto"/>
        <w:bottom w:val="none" w:sz="0" w:space="0" w:color="auto"/>
        <w:right w:val="none" w:sz="0" w:space="0" w:color="auto"/>
      </w:divBdr>
    </w:div>
    <w:div w:id="20985495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fcx.sagepub.com/cgi/reprint/9/4/298?ijkey=Q1scKsrT8X436&amp;keytype=ref&amp;siteid=spfcx"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fcx.sagepub.com/cgi/reprint/9/4/298?ijkey=Q1scKsrT8X436&amp;keytype=ref&amp;siteid=spfcx" TargetMode="External"/><Relationship Id="rId12" Type="http://schemas.openxmlformats.org/officeDocument/2006/relationships/hyperlink" Target="http://cad.sagepub.com/cgi/reprint/56/1/126?ijkey=0IXKKglTiTOYg&amp;keytype=ref&amp;siteid=spcad"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yperlink" Target="http://cad.sagepub.com/cgi/reprint/56/1/126?ijkey=0IXKKglTiTOYg&amp;keytype=ref&amp;siteid=spcad"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cad.sagepub.com/cgi/reprint/56/1/126?ijkey=0IXKKglTiTOYg&amp;keytype=ref&amp;siteid=spcad" TargetMode="External"/><Relationship Id="rId4" Type="http://schemas.openxmlformats.org/officeDocument/2006/relationships/webSettings" Target="webSettings.xml"/><Relationship Id="rId9" Type="http://schemas.openxmlformats.org/officeDocument/2006/relationships/hyperlink" Target="http://fcx.sagepub.com/cgi/reprint/9/4/298?ijkey=Q1scKsrT8X436&amp;keytype=ref&amp;siteid=spfcx"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733</Words>
  <Characters>4181</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Sage Publications</Company>
  <LinksUpToDate>false</LinksUpToDate>
  <CharactersWithSpaces>4905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ahughes</dc:creator>
  <cp:lastModifiedBy>Hughes, Allison</cp:lastModifiedBy>
  <cp:revision>2</cp:revision>
  <dcterms:created xsi:type="dcterms:W3CDTF">2015-07-18T20:48:00Z</dcterms:created>
  <dcterms:modified xsi:type="dcterms:W3CDTF">2015-07-18T20:48:00Z</dcterms:modified>
</cp:coreProperties>
</file>