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783" w:rsidRPr="007C3783" w:rsidRDefault="007C3783" w:rsidP="007C3783">
      <w:pPr>
        <w:rPr>
          <w:rFonts w:asciiTheme="minorHAnsi" w:hAnsiTheme="minorHAnsi"/>
          <w:sz w:val="22"/>
        </w:rPr>
      </w:pPr>
      <w:bookmarkStart w:id="0" w:name="_GoBack"/>
      <w:bookmarkEnd w:id="0"/>
      <w:r w:rsidRPr="007C3783">
        <w:rPr>
          <w:rFonts w:asciiTheme="minorHAnsi" w:hAnsiTheme="minorHAnsi"/>
          <w:sz w:val="22"/>
        </w:rPr>
        <w:t>Type: E</w:t>
      </w:r>
    </w:p>
    <w:p w:rsidR="007C3783" w:rsidRPr="007C3783" w:rsidRDefault="00614750" w:rsidP="007C3783">
      <w:pPr>
        <w:rPr>
          <w:rFonts w:asciiTheme="minorHAnsi" w:hAnsiTheme="minorHAnsi" w:cs="Arial"/>
          <w:color w:val="0000D4"/>
          <w:sz w:val="22"/>
          <w:u w:val="single"/>
        </w:rPr>
      </w:pPr>
      <w:r w:rsidRPr="007C3783">
        <w:rPr>
          <w:rFonts w:asciiTheme="minorHAnsi" w:hAnsiTheme="minorHAnsi"/>
          <w:sz w:val="22"/>
        </w:rPr>
        <w:t xml:space="preserve">1. </w:t>
      </w:r>
      <w:r w:rsidR="007C3783" w:rsidRPr="007C3783">
        <w:rPr>
          <w:rFonts w:asciiTheme="minorHAnsi" w:hAnsiTheme="minorHAnsi" w:cs="Arial"/>
          <w:sz w:val="22"/>
        </w:rPr>
        <w:t xml:space="preserve">Brennan, T., Breitenbach, M., Dieterich, W., Salsisbury E., &amp; Van Voorhis, P. (2012). Women's Pathways to Serious and Habitual Crime, Criminal Justice and </w:t>
      </w:r>
      <w:r w:rsidR="0081419D" w:rsidRPr="007C3783">
        <w:rPr>
          <w:rFonts w:asciiTheme="minorHAnsi" w:hAnsiTheme="minorHAnsi" w:cs="Arial"/>
          <w:sz w:val="22"/>
        </w:rPr>
        <w:t>Behavior</w:t>
      </w:r>
      <w:r w:rsidR="007C3783" w:rsidRPr="007C3783">
        <w:rPr>
          <w:rFonts w:asciiTheme="minorHAnsi" w:hAnsiTheme="minorHAnsi" w:cs="Arial"/>
          <w:sz w:val="22"/>
        </w:rPr>
        <w:t>, 39, pp. 1481-1508. [</w:t>
      </w:r>
      <w:hyperlink r:id="rId7" w:history="1">
        <w:r w:rsidR="007C3783" w:rsidRPr="007C3783">
          <w:rPr>
            <w:rFonts w:asciiTheme="minorHAnsi" w:hAnsiTheme="minorHAnsi" w:cs="Arial"/>
            <w:color w:val="0000D4"/>
            <w:sz w:val="22"/>
            <w:u w:val="single"/>
          </w:rPr>
          <w:t>http://cjb.sagepub.com/cgi/reprint/39/11/1481?ijkey=g.g51FvXf0EkY&amp;keytype=ref&amp;siteid=spcjb</w:t>
        </w:r>
      </w:hyperlink>
      <w:r w:rsidR="007C3783" w:rsidRPr="007C3783">
        <w:rPr>
          <w:rFonts w:asciiTheme="minorHAnsi" w:hAnsiTheme="minorHAnsi" w:cs="Arial"/>
          <w:sz w:val="22"/>
        </w:rPr>
        <w:t>]</w:t>
      </w:r>
    </w:p>
    <w:p w:rsidR="007C3783" w:rsidRPr="007C3783" w:rsidRDefault="007C3783" w:rsidP="007C3783">
      <w:pPr>
        <w:rPr>
          <w:rFonts w:asciiTheme="minorHAnsi" w:hAnsiTheme="minorHAnsi" w:cs="Arial"/>
          <w:sz w:val="22"/>
        </w:rPr>
      </w:pPr>
      <w:r w:rsidRPr="007C3783">
        <w:rPr>
          <w:rFonts w:asciiTheme="minorHAnsi" w:hAnsiTheme="minorHAnsi" w:cs="Arial"/>
          <w:sz w:val="22"/>
        </w:rPr>
        <w:t>Briefly summarize the article.</w:t>
      </w:r>
    </w:p>
    <w:p w:rsidR="007C3783" w:rsidRPr="007C3783" w:rsidRDefault="007C3783" w:rsidP="007C3783">
      <w:pPr>
        <w:rPr>
          <w:rFonts w:asciiTheme="minorHAnsi" w:hAnsiTheme="minorHAnsi" w:cs="Arial"/>
          <w:sz w:val="22"/>
        </w:rPr>
      </w:pPr>
      <w:r w:rsidRPr="007C3783">
        <w:rPr>
          <w:rFonts w:asciiTheme="minorHAnsi" w:hAnsiTheme="minorHAnsi" w:cs="Arial"/>
          <w:sz w:val="22"/>
        </w:rPr>
        <w:t>*a. Answers may vary</w:t>
      </w:r>
    </w:p>
    <w:p w:rsidR="007C3783" w:rsidRPr="007C3783" w:rsidRDefault="007C3783" w:rsidP="007C3783">
      <w:pPr>
        <w:rPr>
          <w:rFonts w:asciiTheme="minorHAnsi" w:hAnsiTheme="minorHAnsi" w:cs="Arial"/>
          <w:sz w:val="22"/>
        </w:rPr>
      </w:pPr>
      <w:r w:rsidRPr="007C3783">
        <w:rPr>
          <w:rFonts w:asciiTheme="minorHAnsi" w:hAnsiTheme="minorHAnsi" w:cs="Arial"/>
          <w:sz w:val="22"/>
        </w:rPr>
        <w:t>@ Learning Objective: 3-6 Discuss three reasons why it is believed that men commit more crime than women.</w:t>
      </w:r>
    </w:p>
    <w:p w:rsidR="00614750" w:rsidRDefault="00614750" w:rsidP="007C3783">
      <w:pPr>
        <w:rPr>
          <w:rFonts w:asciiTheme="minorHAnsi" w:hAnsiTheme="minorHAnsi"/>
          <w:sz w:val="22"/>
        </w:rPr>
      </w:pPr>
    </w:p>
    <w:p w:rsidR="00D1432B" w:rsidRDefault="00D1432B" w:rsidP="007C3783">
      <w:pPr>
        <w:rPr>
          <w:rFonts w:asciiTheme="minorHAnsi" w:hAnsiTheme="minorHAnsi"/>
          <w:sz w:val="22"/>
        </w:rPr>
      </w:pPr>
      <w:r>
        <w:rPr>
          <w:rFonts w:asciiTheme="minorHAnsi" w:hAnsiTheme="minorHAnsi"/>
          <w:sz w:val="22"/>
        </w:rPr>
        <w:t>Type: E</w:t>
      </w:r>
    </w:p>
    <w:p w:rsidR="00D1432B" w:rsidRPr="007C3783" w:rsidRDefault="00D1432B" w:rsidP="00D1432B">
      <w:pPr>
        <w:rPr>
          <w:rFonts w:asciiTheme="minorHAnsi" w:hAnsiTheme="minorHAnsi" w:cs="Arial"/>
          <w:color w:val="0000D4"/>
          <w:sz w:val="22"/>
          <w:u w:val="single"/>
        </w:rPr>
      </w:pPr>
      <w:r>
        <w:rPr>
          <w:rFonts w:asciiTheme="minorHAnsi" w:hAnsiTheme="minorHAnsi"/>
          <w:sz w:val="22"/>
        </w:rPr>
        <w:t>2</w:t>
      </w:r>
      <w:r w:rsidRPr="007C3783">
        <w:rPr>
          <w:rFonts w:asciiTheme="minorHAnsi" w:hAnsiTheme="minorHAnsi"/>
          <w:sz w:val="22"/>
        </w:rPr>
        <w:t xml:space="preserve">. </w:t>
      </w:r>
      <w:r w:rsidR="0081419D" w:rsidRPr="007C3783">
        <w:rPr>
          <w:rFonts w:asciiTheme="minorHAnsi" w:hAnsiTheme="minorHAnsi" w:cs="Arial"/>
          <w:sz w:val="22"/>
        </w:rPr>
        <w:t xml:space="preserve">Brennan, T., Breitenbach, M., Dieterich, W., Salsisbury E., &amp; Van Voorhis, P. (2012). Women's Pathways to Serious and Habitual Crime, Criminal Justice and Behavior, 39, pp. 1481-1508. </w:t>
      </w:r>
      <w:r w:rsidRPr="007C3783">
        <w:rPr>
          <w:rFonts w:asciiTheme="minorHAnsi" w:hAnsiTheme="minorHAnsi" w:cs="Arial"/>
          <w:sz w:val="22"/>
        </w:rPr>
        <w:t>[</w:t>
      </w:r>
      <w:hyperlink r:id="rId8" w:history="1">
        <w:r w:rsidRPr="007C3783">
          <w:rPr>
            <w:rFonts w:asciiTheme="minorHAnsi" w:hAnsiTheme="minorHAnsi" w:cs="Arial"/>
            <w:color w:val="0000D4"/>
            <w:sz w:val="22"/>
            <w:u w:val="single"/>
          </w:rPr>
          <w:t>http://cjb.sagepub.com/cgi/reprint/39/11/1481?ijkey=g.g51FvXf0EkY&amp;keytype=ref&amp;siteid=spcjb</w:t>
        </w:r>
      </w:hyperlink>
      <w:r w:rsidRPr="007C3783">
        <w:rPr>
          <w:rFonts w:asciiTheme="minorHAnsi" w:hAnsiTheme="minorHAnsi" w:cs="Arial"/>
          <w:sz w:val="22"/>
        </w:rPr>
        <w:t>]</w:t>
      </w:r>
    </w:p>
    <w:p w:rsidR="00D1432B" w:rsidRDefault="00294440" w:rsidP="007C3783">
      <w:pPr>
        <w:rPr>
          <w:rFonts w:asciiTheme="minorHAnsi" w:hAnsiTheme="minorHAnsi"/>
          <w:sz w:val="22"/>
        </w:rPr>
      </w:pPr>
      <w:r>
        <w:rPr>
          <w:rFonts w:asciiTheme="minorHAnsi" w:hAnsiTheme="minorHAnsi"/>
          <w:sz w:val="22"/>
        </w:rPr>
        <w:t>What are the hypothetical “common pathways identified in the article?</w:t>
      </w:r>
    </w:p>
    <w:p w:rsidR="00294440" w:rsidRDefault="00294440" w:rsidP="007C3783">
      <w:pPr>
        <w:rPr>
          <w:rFonts w:asciiTheme="minorHAnsi" w:hAnsiTheme="minorHAnsi"/>
          <w:sz w:val="22"/>
        </w:rPr>
      </w:pPr>
      <w:r>
        <w:rPr>
          <w:rFonts w:asciiTheme="minorHAnsi" w:hAnsiTheme="minorHAnsi"/>
          <w:sz w:val="22"/>
        </w:rPr>
        <w:t>*a. Answers may vary. (1) A normal or situational female offender; (2) An AL pathway; (3) A victimized, socially withdrawn and depressed pathway; (4) A chronic serious offender; (5) Socialized offenders and socially marginalized groups.</w:t>
      </w:r>
    </w:p>
    <w:p w:rsidR="006F7521" w:rsidRPr="007C3783" w:rsidRDefault="006F7521" w:rsidP="006F7521">
      <w:pPr>
        <w:rPr>
          <w:rFonts w:asciiTheme="minorHAnsi" w:hAnsiTheme="minorHAnsi" w:cs="Arial"/>
          <w:sz w:val="22"/>
        </w:rPr>
      </w:pPr>
      <w:r w:rsidRPr="007C3783">
        <w:rPr>
          <w:rFonts w:asciiTheme="minorHAnsi" w:hAnsiTheme="minorHAnsi" w:cs="Arial"/>
          <w:sz w:val="22"/>
        </w:rPr>
        <w:t>@ Learning Objective: 3-6 Discuss three reasons why it is believed that men commit more crime than women.</w:t>
      </w:r>
    </w:p>
    <w:p w:rsidR="006F7521" w:rsidRDefault="006F7521" w:rsidP="007C3783">
      <w:pPr>
        <w:rPr>
          <w:rFonts w:asciiTheme="minorHAnsi" w:hAnsiTheme="minorHAnsi"/>
          <w:sz w:val="22"/>
        </w:rPr>
      </w:pPr>
    </w:p>
    <w:p w:rsidR="006F7521" w:rsidRDefault="006F7521" w:rsidP="006F7521">
      <w:pPr>
        <w:rPr>
          <w:rFonts w:asciiTheme="minorHAnsi" w:hAnsiTheme="minorHAnsi"/>
          <w:sz w:val="22"/>
        </w:rPr>
      </w:pPr>
      <w:r>
        <w:rPr>
          <w:rFonts w:asciiTheme="minorHAnsi" w:hAnsiTheme="minorHAnsi"/>
          <w:sz w:val="22"/>
        </w:rPr>
        <w:t>Type: E</w:t>
      </w:r>
    </w:p>
    <w:p w:rsidR="006F7521" w:rsidRPr="007C3783" w:rsidRDefault="006F7521" w:rsidP="006F7521">
      <w:pPr>
        <w:rPr>
          <w:rFonts w:asciiTheme="minorHAnsi" w:hAnsiTheme="minorHAnsi" w:cs="Arial"/>
          <w:color w:val="0000D4"/>
          <w:sz w:val="22"/>
          <w:u w:val="single"/>
        </w:rPr>
      </w:pPr>
      <w:r>
        <w:rPr>
          <w:rFonts w:asciiTheme="minorHAnsi" w:hAnsiTheme="minorHAnsi"/>
          <w:sz w:val="22"/>
        </w:rPr>
        <w:t>3</w:t>
      </w:r>
      <w:r w:rsidRPr="007C3783">
        <w:rPr>
          <w:rFonts w:asciiTheme="minorHAnsi" w:hAnsiTheme="minorHAnsi"/>
          <w:sz w:val="22"/>
        </w:rPr>
        <w:t xml:space="preserve">. </w:t>
      </w:r>
      <w:r w:rsidR="0081419D" w:rsidRPr="007C3783">
        <w:rPr>
          <w:rFonts w:asciiTheme="minorHAnsi" w:hAnsiTheme="minorHAnsi" w:cs="Arial"/>
          <w:sz w:val="22"/>
        </w:rPr>
        <w:t xml:space="preserve">Brennan, T., Breitenbach, M., Dieterich, W., Salsisbury E., &amp; Van Voorhis, P. (2012). Women's Pathways to Serious and Habitual Crime, Criminal Justice and Behavior, 39, pp. 1481-1508. </w:t>
      </w:r>
      <w:r w:rsidRPr="007C3783">
        <w:rPr>
          <w:rFonts w:asciiTheme="minorHAnsi" w:hAnsiTheme="minorHAnsi" w:cs="Arial"/>
          <w:sz w:val="22"/>
        </w:rPr>
        <w:t>[</w:t>
      </w:r>
      <w:hyperlink r:id="rId9" w:history="1">
        <w:r w:rsidRPr="007C3783">
          <w:rPr>
            <w:rFonts w:asciiTheme="minorHAnsi" w:hAnsiTheme="minorHAnsi" w:cs="Arial"/>
            <w:color w:val="0000D4"/>
            <w:sz w:val="22"/>
            <w:u w:val="single"/>
          </w:rPr>
          <w:t>http://cjb.sagepub.com/cgi/reprint/39/11/1481?ijkey=g.g51FvXf0EkY&amp;keytype=ref&amp;siteid=spcjb</w:t>
        </w:r>
      </w:hyperlink>
      <w:r w:rsidRPr="007C3783">
        <w:rPr>
          <w:rFonts w:asciiTheme="minorHAnsi" w:hAnsiTheme="minorHAnsi" w:cs="Arial"/>
          <w:sz w:val="22"/>
        </w:rPr>
        <w:t>]</w:t>
      </w:r>
    </w:p>
    <w:p w:rsidR="006F7521" w:rsidRDefault="006F7521" w:rsidP="006F7521">
      <w:pPr>
        <w:rPr>
          <w:rFonts w:asciiTheme="minorHAnsi" w:hAnsiTheme="minorHAnsi"/>
          <w:sz w:val="22"/>
        </w:rPr>
      </w:pPr>
      <w:r>
        <w:rPr>
          <w:rFonts w:asciiTheme="minorHAnsi" w:hAnsiTheme="minorHAnsi"/>
          <w:sz w:val="22"/>
        </w:rPr>
        <w:t>How do Paths 3 and 4 differ?</w:t>
      </w:r>
    </w:p>
    <w:p w:rsidR="006F7521" w:rsidRDefault="006F7521" w:rsidP="006F7521">
      <w:pPr>
        <w:rPr>
          <w:rFonts w:asciiTheme="minorHAnsi" w:hAnsiTheme="minorHAnsi"/>
          <w:sz w:val="22"/>
        </w:rPr>
      </w:pPr>
      <w:r>
        <w:rPr>
          <w:rFonts w:asciiTheme="minorHAnsi" w:hAnsiTheme="minorHAnsi"/>
          <w:sz w:val="22"/>
        </w:rPr>
        <w:t>*a. Answers may vary. Path 3 is below Path 4 for fewer weapon offenses, criminal history, prior detentions, drug involvement, and noncompliance. Path 3 has lower numbers for drug abuse and drug offenses. Path 3 for young single mothers has more stress and anxiety over parenting and more depression than Path 4. Path 3 has more prior domestic violence convictions, more indications of anger in the current offense, and more current domestic violence charges.</w:t>
      </w:r>
    </w:p>
    <w:p w:rsidR="006F7521" w:rsidRPr="007C3783" w:rsidRDefault="006F7521" w:rsidP="006F7521">
      <w:pPr>
        <w:rPr>
          <w:rFonts w:asciiTheme="minorHAnsi" w:hAnsiTheme="minorHAnsi" w:cs="Arial"/>
          <w:sz w:val="22"/>
        </w:rPr>
      </w:pPr>
      <w:r w:rsidRPr="007C3783">
        <w:rPr>
          <w:rFonts w:asciiTheme="minorHAnsi" w:hAnsiTheme="minorHAnsi" w:cs="Arial"/>
          <w:sz w:val="22"/>
        </w:rPr>
        <w:t>@ Learning Objective: 3-6 Discuss three reasons why it is believed that men commit more crime than women.</w:t>
      </w:r>
    </w:p>
    <w:p w:rsidR="006F7521" w:rsidRDefault="006F7521" w:rsidP="007C3783">
      <w:pPr>
        <w:rPr>
          <w:rFonts w:asciiTheme="minorHAnsi" w:hAnsiTheme="minorHAnsi"/>
          <w:sz w:val="22"/>
        </w:rPr>
      </w:pPr>
    </w:p>
    <w:p w:rsidR="00614750" w:rsidRDefault="00D1432B" w:rsidP="00614750">
      <w:pPr>
        <w:rPr>
          <w:rFonts w:asciiTheme="minorHAnsi" w:hAnsiTheme="minorHAnsi"/>
          <w:sz w:val="22"/>
        </w:rPr>
      </w:pPr>
      <w:r>
        <w:rPr>
          <w:rFonts w:asciiTheme="minorHAnsi" w:hAnsiTheme="minorHAnsi"/>
          <w:sz w:val="22"/>
        </w:rPr>
        <w:t>Type: E</w:t>
      </w:r>
    </w:p>
    <w:p w:rsidR="00D1432B" w:rsidRPr="00D1432B" w:rsidRDefault="0054196B" w:rsidP="00D1432B">
      <w:pPr>
        <w:rPr>
          <w:rFonts w:asciiTheme="minorHAnsi" w:hAnsiTheme="minorHAnsi" w:cs="Arial"/>
          <w:color w:val="0000D4"/>
          <w:sz w:val="22"/>
          <w:szCs w:val="22"/>
          <w:u w:val="single"/>
        </w:rPr>
      </w:pPr>
      <w:r>
        <w:rPr>
          <w:rFonts w:asciiTheme="minorHAnsi" w:hAnsiTheme="minorHAnsi" w:cs="Arial"/>
          <w:sz w:val="22"/>
        </w:rPr>
        <w:t>4</w:t>
      </w:r>
      <w:r w:rsidR="00D1432B" w:rsidRPr="00D1432B">
        <w:rPr>
          <w:rFonts w:asciiTheme="minorHAnsi" w:hAnsiTheme="minorHAnsi" w:cs="Arial"/>
          <w:sz w:val="22"/>
          <w:szCs w:val="22"/>
        </w:rPr>
        <w:t>. Agnew, R. (2011). Crime and time: The temporal patterning of causal variables, Theoretical Criminology, 15, pp. 115-139. [</w:t>
      </w:r>
      <w:hyperlink r:id="rId10" w:history="1">
        <w:r w:rsidR="00D1432B" w:rsidRPr="00D1432B">
          <w:rPr>
            <w:rFonts w:asciiTheme="minorHAnsi" w:hAnsiTheme="minorHAnsi" w:cs="Arial"/>
            <w:color w:val="0000D4"/>
            <w:sz w:val="22"/>
            <w:szCs w:val="22"/>
            <w:u w:val="single"/>
          </w:rPr>
          <w:t>http://tcr.sagepub.com/cgi/reprint/15/2/115?ijkey=tFPamkMWFibO2&amp;keytype=ref&amp;siteid=sptcr</w:t>
        </w:r>
      </w:hyperlink>
      <w:r w:rsidR="00D1432B" w:rsidRPr="00D1432B">
        <w:rPr>
          <w:rFonts w:asciiTheme="minorHAnsi" w:hAnsiTheme="minorHAnsi" w:cs="Arial"/>
          <w:color w:val="0000D4"/>
          <w:sz w:val="22"/>
          <w:szCs w:val="22"/>
          <w:u w:val="single"/>
        </w:rPr>
        <w:t>]</w:t>
      </w:r>
    </w:p>
    <w:p w:rsidR="00D1432B" w:rsidRDefault="00D1432B" w:rsidP="00D1432B">
      <w:pPr>
        <w:rPr>
          <w:rFonts w:ascii="Calibri" w:hAnsi="Calibri" w:cs="Arial"/>
          <w:sz w:val="20"/>
          <w:szCs w:val="20"/>
        </w:rPr>
      </w:pPr>
      <w:r>
        <w:rPr>
          <w:rFonts w:ascii="Calibri" w:hAnsi="Calibri" w:cs="Arial"/>
          <w:sz w:val="20"/>
          <w:szCs w:val="20"/>
        </w:rPr>
        <w:t xml:space="preserve"> </w:t>
      </w:r>
      <w:r w:rsidR="0054196B">
        <w:rPr>
          <w:rFonts w:ascii="Calibri" w:hAnsi="Calibri" w:cs="Arial"/>
          <w:sz w:val="20"/>
          <w:szCs w:val="20"/>
        </w:rPr>
        <w:t xml:space="preserve">What are the three </w:t>
      </w:r>
      <w:r w:rsidR="00AD2E65">
        <w:rPr>
          <w:rFonts w:ascii="Calibri" w:hAnsi="Calibri" w:cs="Arial"/>
          <w:sz w:val="20"/>
          <w:szCs w:val="20"/>
        </w:rPr>
        <w:t>temporal levels</w:t>
      </w:r>
      <w:r w:rsidR="0054196B">
        <w:rPr>
          <w:rFonts w:ascii="Calibri" w:hAnsi="Calibri" w:cs="Arial"/>
          <w:sz w:val="20"/>
          <w:szCs w:val="20"/>
        </w:rPr>
        <w:t>?</w:t>
      </w:r>
    </w:p>
    <w:p w:rsidR="0054196B" w:rsidRDefault="00DE133C" w:rsidP="00D1432B">
      <w:pPr>
        <w:rPr>
          <w:rFonts w:ascii="Calibri" w:hAnsi="Calibri" w:cs="Arial"/>
          <w:sz w:val="20"/>
          <w:szCs w:val="20"/>
        </w:rPr>
      </w:pPr>
      <w:r>
        <w:rPr>
          <w:rFonts w:ascii="Calibri" w:hAnsi="Calibri" w:cs="Arial"/>
          <w:sz w:val="20"/>
          <w:szCs w:val="20"/>
        </w:rPr>
        <w:t xml:space="preserve">*a. Answers may vary. (1) Baseline levels or long-term averages; (2) short term deviations around these baseline levels, with such deviations lasting from hours to day; (3) and situational deviations, lasting from  seconds to minutes. </w:t>
      </w:r>
    </w:p>
    <w:p w:rsidR="00DE133C" w:rsidRDefault="00DE133C" w:rsidP="00DE133C">
      <w:pPr>
        <w:rPr>
          <w:rFonts w:ascii="Calibri" w:hAnsi="Calibri" w:cs="Arial"/>
          <w:sz w:val="20"/>
          <w:szCs w:val="20"/>
        </w:rPr>
      </w:pPr>
      <w:r>
        <w:rPr>
          <w:rFonts w:ascii="Calibri" w:hAnsi="Calibri" w:cs="Arial"/>
          <w:sz w:val="20"/>
          <w:szCs w:val="20"/>
        </w:rPr>
        <w:t>@ Learning Objective: 3-4: Explain why crime varies across time and space.</w:t>
      </w:r>
    </w:p>
    <w:p w:rsidR="00DE133C" w:rsidRPr="00D1432B" w:rsidRDefault="00DE133C" w:rsidP="00D1432B">
      <w:pPr>
        <w:rPr>
          <w:rFonts w:ascii="Calibri" w:hAnsi="Calibri" w:cs="Arial"/>
          <w:sz w:val="20"/>
          <w:szCs w:val="20"/>
        </w:rPr>
      </w:pPr>
    </w:p>
    <w:p w:rsidR="00D1432B" w:rsidRDefault="00AD2E65" w:rsidP="00614750">
      <w:pPr>
        <w:rPr>
          <w:rFonts w:asciiTheme="minorHAnsi" w:hAnsiTheme="minorHAnsi"/>
          <w:sz w:val="22"/>
        </w:rPr>
      </w:pPr>
      <w:r>
        <w:rPr>
          <w:rFonts w:asciiTheme="minorHAnsi" w:hAnsiTheme="minorHAnsi"/>
          <w:sz w:val="22"/>
        </w:rPr>
        <w:t>Type: E</w:t>
      </w:r>
    </w:p>
    <w:p w:rsidR="00DE133C" w:rsidRDefault="005676E3" w:rsidP="00DE133C">
      <w:pPr>
        <w:rPr>
          <w:rFonts w:asciiTheme="minorHAnsi" w:hAnsiTheme="minorHAnsi" w:cs="Arial"/>
          <w:color w:val="0000D4"/>
          <w:sz w:val="22"/>
          <w:szCs w:val="22"/>
          <w:u w:val="single"/>
        </w:rPr>
      </w:pPr>
      <w:r>
        <w:rPr>
          <w:rFonts w:asciiTheme="minorHAnsi" w:hAnsiTheme="minorHAnsi" w:cs="Arial"/>
          <w:sz w:val="22"/>
        </w:rPr>
        <w:t>5</w:t>
      </w:r>
      <w:r w:rsidR="00DE133C" w:rsidRPr="00D1432B">
        <w:rPr>
          <w:rFonts w:asciiTheme="minorHAnsi" w:hAnsiTheme="minorHAnsi" w:cs="Arial"/>
          <w:sz w:val="22"/>
          <w:szCs w:val="22"/>
        </w:rPr>
        <w:t>. Agnew, R. (2011). Crime and time: The temporal patterning of causal variables, Theoretical Criminology, 15, pp. 115-139. [</w:t>
      </w:r>
      <w:hyperlink r:id="rId11" w:history="1">
        <w:r w:rsidR="00DE133C" w:rsidRPr="00D1432B">
          <w:rPr>
            <w:rFonts w:asciiTheme="minorHAnsi" w:hAnsiTheme="minorHAnsi" w:cs="Arial"/>
            <w:color w:val="0000D4"/>
            <w:sz w:val="22"/>
            <w:szCs w:val="22"/>
            <w:u w:val="single"/>
          </w:rPr>
          <w:t>http://tcr.sagepub.com/cgi/reprint/15/2/115?ijkey=tFPamkMWFibO2&amp;keytype=ref&amp;siteid=sptcr</w:t>
        </w:r>
      </w:hyperlink>
      <w:r w:rsidR="00DE133C" w:rsidRPr="00D1432B">
        <w:rPr>
          <w:rFonts w:asciiTheme="minorHAnsi" w:hAnsiTheme="minorHAnsi" w:cs="Arial"/>
          <w:color w:val="0000D4"/>
          <w:sz w:val="22"/>
          <w:szCs w:val="22"/>
          <w:u w:val="single"/>
        </w:rPr>
        <w:t>]</w:t>
      </w:r>
    </w:p>
    <w:p w:rsidR="00DE133C" w:rsidRDefault="00DE133C" w:rsidP="00DE133C">
      <w:pPr>
        <w:rPr>
          <w:rFonts w:ascii="Calibri" w:hAnsi="Calibri" w:cs="Arial"/>
          <w:sz w:val="20"/>
          <w:szCs w:val="20"/>
        </w:rPr>
      </w:pPr>
      <w:r>
        <w:rPr>
          <w:rFonts w:ascii="Calibri" w:hAnsi="Calibri" w:cs="Arial"/>
          <w:sz w:val="20"/>
          <w:szCs w:val="20"/>
        </w:rPr>
        <w:t xml:space="preserve"> </w:t>
      </w:r>
      <w:r w:rsidR="00AD2E65">
        <w:rPr>
          <w:rFonts w:ascii="Calibri" w:hAnsi="Calibri" w:cs="Arial"/>
          <w:sz w:val="20"/>
          <w:szCs w:val="20"/>
        </w:rPr>
        <w:t>Considering the authors’ new view of temporal pattern</w:t>
      </w:r>
      <w:r w:rsidR="003D11F3">
        <w:rPr>
          <w:rFonts w:ascii="Calibri" w:hAnsi="Calibri" w:cs="Arial"/>
          <w:sz w:val="20"/>
          <w:szCs w:val="20"/>
        </w:rPr>
        <w:t>ing, what steps can be taken to reduce crime</w:t>
      </w:r>
      <w:r w:rsidR="00AD2E65">
        <w:rPr>
          <w:rFonts w:ascii="Calibri" w:hAnsi="Calibri" w:cs="Arial"/>
          <w:sz w:val="20"/>
          <w:szCs w:val="20"/>
        </w:rPr>
        <w:t>?</w:t>
      </w:r>
    </w:p>
    <w:p w:rsidR="00AD2E65" w:rsidRDefault="00AD2E65" w:rsidP="00DE133C">
      <w:pPr>
        <w:rPr>
          <w:rFonts w:ascii="Calibri" w:hAnsi="Calibri" w:cs="Arial"/>
          <w:sz w:val="20"/>
          <w:szCs w:val="20"/>
        </w:rPr>
      </w:pPr>
      <w:r>
        <w:rPr>
          <w:rFonts w:ascii="Calibri" w:hAnsi="Calibri" w:cs="Arial"/>
          <w:sz w:val="20"/>
          <w:szCs w:val="20"/>
        </w:rPr>
        <w:lastRenderedPageBreak/>
        <w:t>*a. Answers may vary. First, identify individuals at a high risk for experiencing short-term and situational spikes favorable to crime. Second, monitor the temporal patterns of these individuals on the causes of crime.  And finally, intervene when the causes are starting to spike and teach individuals to intervene on their own.</w:t>
      </w:r>
    </w:p>
    <w:p w:rsidR="003D11F3" w:rsidRDefault="003D11F3" w:rsidP="003D11F3">
      <w:pPr>
        <w:rPr>
          <w:rFonts w:ascii="Calibri" w:hAnsi="Calibri" w:cs="Arial"/>
          <w:sz w:val="20"/>
          <w:szCs w:val="20"/>
        </w:rPr>
      </w:pPr>
      <w:r>
        <w:rPr>
          <w:rFonts w:ascii="Calibri" w:hAnsi="Calibri" w:cs="Arial"/>
          <w:sz w:val="20"/>
          <w:szCs w:val="20"/>
        </w:rPr>
        <w:t>@ Learning Objective: 3-4: Explain why crime varies across time and space.</w:t>
      </w:r>
    </w:p>
    <w:p w:rsidR="003D11F3" w:rsidRPr="00D1432B" w:rsidRDefault="003D11F3" w:rsidP="003D11F3">
      <w:pPr>
        <w:rPr>
          <w:rFonts w:ascii="Calibri" w:hAnsi="Calibri" w:cs="Arial"/>
          <w:sz w:val="20"/>
          <w:szCs w:val="20"/>
        </w:rPr>
      </w:pPr>
    </w:p>
    <w:sectPr w:rsidR="003D11F3" w:rsidRPr="00D1432B">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6DD5" w:rsidRDefault="00A06DD5" w:rsidP="008B59A4">
      <w:r>
        <w:separator/>
      </w:r>
    </w:p>
  </w:endnote>
  <w:endnote w:type="continuationSeparator" w:id="0">
    <w:p w:rsidR="00A06DD5" w:rsidRDefault="00A06DD5"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6DD5" w:rsidRDefault="00A06DD5" w:rsidP="008B59A4">
      <w:r>
        <w:separator/>
      </w:r>
    </w:p>
  </w:footnote>
  <w:footnote w:type="continuationSeparator" w:id="0">
    <w:p w:rsidR="00A06DD5" w:rsidRDefault="00A06DD5"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7C3783" w:rsidP="008B59A4">
    <w:pPr>
      <w:pStyle w:val="Header"/>
    </w:pPr>
    <w:r>
      <w:t>Chapter 3</w:t>
    </w:r>
    <w:r w:rsidR="008B59A4">
      <w:t>; 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1017FE"/>
    <w:rsid w:val="00294440"/>
    <w:rsid w:val="003D11F3"/>
    <w:rsid w:val="004A3CB4"/>
    <w:rsid w:val="004A50CD"/>
    <w:rsid w:val="00535FCA"/>
    <w:rsid w:val="0054196B"/>
    <w:rsid w:val="005676E3"/>
    <w:rsid w:val="00614750"/>
    <w:rsid w:val="006F7521"/>
    <w:rsid w:val="00736C08"/>
    <w:rsid w:val="007C3783"/>
    <w:rsid w:val="0081419D"/>
    <w:rsid w:val="008565DF"/>
    <w:rsid w:val="008B59A4"/>
    <w:rsid w:val="00A06DD5"/>
    <w:rsid w:val="00A87301"/>
    <w:rsid w:val="00AD2E65"/>
    <w:rsid w:val="00CC600E"/>
    <w:rsid w:val="00D10453"/>
    <w:rsid w:val="00D1432B"/>
    <w:rsid w:val="00DE133C"/>
    <w:rsid w:val="00F019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133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rPr>
      <w:rFonts w:eastAsiaTheme="minorEastAsia"/>
      <w:szCs w:val="22"/>
      <w:lang w:eastAsia="zh-CN"/>
    </w:r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rPr>
      <w:rFonts w:eastAsiaTheme="minorEastAsia"/>
      <w:szCs w:val="22"/>
      <w:lang w:eastAsia="zh-CN"/>
    </w:r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813984">
      <w:marLeft w:val="0"/>
      <w:marRight w:val="0"/>
      <w:marTop w:val="0"/>
      <w:marBottom w:val="0"/>
      <w:divBdr>
        <w:top w:val="none" w:sz="0" w:space="0" w:color="auto"/>
        <w:left w:val="none" w:sz="0" w:space="0" w:color="auto"/>
        <w:bottom w:val="none" w:sz="0" w:space="0" w:color="auto"/>
        <w:right w:val="none" w:sz="0" w:space="0" w:color="auto"/>
      </w:divBdr>
    </w:div>
    <w:div w:id="1324813985">
      <w:marLeft w:val="0"/>
      <w:marRight w:val="0"/>
      <w:marTop w:val="0"/>
      <w:marBottom w:val="0"/>
      <w:divBdr>
        <w:top w:val="none" w:sz="0" w:space="0" w:color="auto"/>
        <w:left w:val="none" w:sz="0" w:space="0" w:color="auto"/>
        <w:bottom w:val="none" w:sz="0" w:space="0" w:color="auto"/>
        <w:right w:val="none" w:sz="0" w:space="0" w:color="auto"/>
      </w:divBdr>
    </w:div>
    <w:div w:id="1324813986">
      <w:marLeft w:val="0"/>
      <w:marRight w:val="0"/>
      <w:marTop w:val="0"/>
      <w:marBottom w:val="0"/>
      <w:divBdr>
        <w:top w:val="none" w:sz="0" w:space="0" w:color="auto"/>
        <w:left w:val="none" w:sz="0" w:space="0" w:color="auto"/>
        <w:bottom w:val="none" w:sz="0" w:space="0" w:color="auto"/>
        <w:right w:val="none" w:sz="0" w:space="0" w:color="auto"/>
      </w:divBdr>
    </w:div>
    <w:div w:id="1324813987">
      <w:marLeft w:val="0"/>
      <w:marRight w:val="0"/>
      <w:marTop w:val="0"/>
      <w:marBottom w:val="0"/>
      <w:divBdr>
        <w:top w:val="none" w:sz="0" w:space="0" w:color="auto"/>
        <w:left w:val="none" w:sz="0" w:space="0" w:color="auto"/>
        <w:bottom w:val="none" w:sz="0" w:space="0" w:color="auto"/>
        <w:right w:val="none" w:sz="0" w:space="0" w:color="auto"/>
      </w:divBdr>
    </w:div>
    <w:div w:id="1324813988">
      <w:marLeft w:val="0"/>
      <w:marRight w:val="0"/>
      <w:marTop w:val="0"/>
      <w:marBottom w:val="0"/>
      <w:divBdr>
        <w:top w:val="none" w:sz="0" w:space="0" w:color="auto"/>
        <w:left w:val="none" w:sz="0" w:space="0" w:color="auto"/>
        <w:bottom w:val="none" w:sz="0" w:space="0" w:color="auto"/>
        <w:right w:val="none" w:sz="0" w:space="0" w:color="auto"/>
      </w:divBdr>
    </w:div>
    <w:div w:id="1324813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jb.sagepub.com/cgi/reprint/39/11/1481?ijkey=g.g51FvXf0EkY&amp;keytype=ref&amp;siteid=spcj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jb.sagepub.com/cgi/reprint/39/11/1481?ijkey=g.g51FvXf0EkY&amp;keytype=ref&amp;siteid=spcjb"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tcr.sagepub.com/cgi/reprint/15/2/115?ijkey=tFPamkMWFibO2&amp;keytype=ref&amp;siteid=sptcr" TargetMode="External"/><Relationship Id="rId5" Type="http://schemas.openxmlformats.org/officeDocument/2006/relationships/footnotes" Target="footnotes.xml"/><Relationship Id="rId10" Type="http://schemas.openxmlformats.org/officeDocument/2006/relationships/hyperlink" Target="http://tcr.sagepub.com/cgi/reprint/15/2/115?ijkey=tFPamkMWFibO2&amp;keytype=ref&amp;siteid=sptcr" TargetMode="External"/><Relationship Id="rId4" Type="http://schemas.openxmlformats.org/officeDocument/2006/relationships/webSettings" Target="webSettings.xml"/><Relationship Id="rId9" Type="http://schemas.openxmlformats.org/officeDocument/2006/relationships/hyperlink" Target="http://cjb.sagepub.com/cgi/reprint/39/11/1481?ijkey=g.g51FvXf0EkY&amp;keytype=ref&amp;siteid=spcjb"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Hughes, Allison</cp:lastModifiedBy>
  <cp:revision>2</cp:revision>
  <dcterms:created xsi:type="dcterms:W3CDTF">2015-08-03T01:12:00Z</dcterms:created>
  <dcterms:modified xsi:type="dcterms:W3CDTF">2015-08-03T01:12:00Z</dcterms:modified>
</cp:coreProperties>
</file>