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28EA" w:rsidRPr="0001577E" w:rsidRDefault="003828EA" w:rsidP="003828EA">
      <w:pPr>
        <w:spacing w:after="120" w:line="240" w:lineRule="auto"/>
        <w:rPr>
          <w:rFonts w:asciiTheme="minorHAnsi" w:hAnsiTheme="minorHAnsi" w:cstheme="minorHAnsi"/>
          <w:color w:val="000000"/>
          <w:sz w:val="32"/>
          <w:szCs w:val="32"/>
        </w:rPr>
      </w:pPr>
      <w:r w:rsidRPr="005319D3">
        <w:rPr>
          <w:rFonts w:asciiTheme="minorHAnsi" w:hAnsiTheme="minorHAnsi" w:cstheme="minorHAnsi"/>
          <w:b/>
          <w:bCs/>
          <w:color w:val="000000"/>
          <w:sz w:val="32"/>
          <w:szCs w:val="32"/>
        </w:rPr>
        <w:t xml:space="preserve">Chapter 3: Prejudice and Discrimination </w:t>
      </w:r>
    </w:p>
    <w:p w:rsidR="003828EA" w:rsidRPr="005319D3" w:rsidRDefault="006376E9" w:rsidP="003828EA">
      <w:pPr>
        <w:spacing w:after="120" w:line="240" w:lineRule="auto"/>
        <w:rPr>
          <w:rFonts w:asciiTheme="minorHAnsi" w:hAnsiTheme="minorHAnsi"/>
          <w:sz w:val="24"/>
          <w:szCs w:val="24"/>
        </w:rPr>
      </w:pPr>
      <w:hyperlink r:id="rId6" w:history="1">
        <w:proofErr w:type="gramStart"/>
        <w:r w:rsidR="003828EA" w:rsidRPr="00823B3A">
          <w:rPr>
            <w:rStyle w:val="Hyperlink"/>
            <w:rFonts w:asciiTheme="minorHAnsi" w:hAnsiTheme="minorHAnsi"/>
            <w:sz w:val="24"/>
            <w:szCs w:val="24"/>
          </w:rPr>
          <w:t>Swim,</w:t>
        </w:r>
        <w:proofErr w:type="gramEnd"/>
        <w:r w:rsidR="003828EA" w:rsidRPr="00823B3A">
          <w:rPr>
            <w:rStyle w:val="Hyperlink"/>
            <w:rFonts w:asciiTheme="minorHAnsi" w:hAnsiTheme="minorHAnsi"/>
            <w:sz w:val="24"/>
            <w:szCs w:val="24"/>
          </w:rPr>
          <w:t xml:space="preserve"> J., </w:t>
        </w:r>
        <w:proofErr w:type="spellStart"/>
        <w:r w:rsidR="003828EA" w:rsidRPr="00823B3A">
          <w:rPr>
            <w:rStyle w:val="Hyperlink"/>
            <w:rFonts w:asciiTheme="minorHAnsi" w:hAnsiTheme="minorHAnsi"/>
            <w:sz w:val="24"/>
            <w:szCs w:val="24"/>
          </w:rPr>
          <w:t>Hyers</w:t>
        </w:r>
        <w:proofErr w:type="spellEnd"/>
        <w:r w:rsidR="003828EA" w:rsidRPr="00823B3A">
          <w:rPr>
            <w:rStyle w:val="Hyperlink"/>
            <w:rFonts w:asciiTheme="minorHAnsi" w:hAnsiTheme="minorHAnsi"/>
            <w:sz w:val="24"/>
            <w:szCs w:val="24"/>
          </w:rPr>
          <w:t xml:space="preserve">, L., Fitzgerald, D., &amp; </w:t>
        </w:r>
        <w:proofErr w:type="spellStart"/>
        <w:r w:rsidR="003828EA" w:rsidRPr="00823B3A">
          <w:rPr>
            <w:rStyle w:val="Hyperlink"/>
            <w:rFonts w:asciiTheme="minorHAnsi" w:hAnsiTheme="minorHAnsi"/>
            <w:sz w:val="24"/>
            <w:szCs w:val="24"/>
          </w:rPr>
          <w:t>Bylsma</w:t>
        </w:r>
        <w:proofErr w:type="spellEnd"/>
        <w:r w:rsidR="003828EA" w:rsidRPr="00823B3A">
          <w:rPr>
            <w:rStyle w:val="Hyperlink"/>
            <w:rFonts w:asciiTheme="minorHAnsi" w:hAnsiTheme="minorHAnsi"/>
            <w:sz w:val="24"/>
            <w:szCs w:val="24"/>
          </w:rPr>
          <w:t>, W. (2003). African American</w:t>
        </w:r>
        <w:r w:rsidR="00D813E8" w:rsidRPr="00823B3A">
          <w:rPr>
            <w:rStyle w:val="Hyperlink"/>
            <w:rFonts w:asciiTheme="minorHAnsi" w:hAnsiTheme="minorHAnsi"/>
            <w:sz w:val="24"/>
            <w:szCs w:val="24"/>
          </w:rPr>
          <w:t xml:space="preserve"> College Students' Experiences w</w:t>
        </w:r>
        <w:r w:rsidR="003828EA" w:rsidRPr="00823B3A">
          <w:rPr>
            <w:rStyle w:val="Hyperlink"/>
            <w:rFonts w:asciiTheme="minorHAnsi" w:hAnsiTheme="minorHAnsi"/>
            <w:sz w:val="24"/>
            <w:szCs w:val="24"/>
          </w:rPr>
          <w:t xml:space="preserve">ith Everyday Racism: Characteristics of and Responses to These Incidents. </w:t>
        </w:r>
        <w:r w:rsidR="003828EA" w:rsidRPr="00823B3A">
          <w:rPr>
            <w:rStyle w:val="Hyperlink"/>
            <w:rFonts w:asciiTheme="minorHAnsi" w:hAnsiTheme="minorHAnsi"/>
            <w:i/>
            <w:iCs/>
            <w:sz w:val="24"/>
            <w:szCs w:val="24"/>
          </w:rPr>
          <w:t>Journal of Black Psychology,</w:t>
        </w:r>
        <w:r w:rsidR="003828EA" w:rsidRPr="00823B3A">
          <w:rPr>
            <w:rStyle w:val="Hyperlink"/>
            <w:rFonts w:asciiTheme="minorHAnsi" w:hAnsiTheme="minorHAnsi"/>
            <w:sz w:val="24"/>
            <w:szCs w:val="24"/>
          </w:rPr>
          <w:t xml:space="preserve"> </w:t>
        </w:r>
        <w:r w:rsidR="003828EA" w:rsidRPr="00823B3A">
          <w:rPr>
            <w:rStyle w:val="Hyperlink"/>
            <w:rFonts w:asciiTheme="minorHAnsi" w:hAnsiTheme="minorHAnsi"/>
            <w:i/>
            <w:iCs/>
            <w:sz w:val="24"/>
            <w:szCs w:val="24"/>
          </w:rPr>
          <w:t>29</w:t>
        </w:r>
        <w:r w:rsidR="003828EA" w:rsidRPr="00823B3A">
          <w:rPr>
            <w:rStyle w:val="Hyperlink"/>
            <w:rFonts w:asciiTheme="minorHAnsi" w:hAnsiTheme="minorHAnsi"/>
            <w:sz w:val="24"/>
            <w:szCs w:val="24"/>
          </w:rPr>
          <w:t>(1), 38-67.</w:t>
        </w:r>
      </w:hyperlink>
    </w:p>
    <w:p w:rsidR="00EF6FA9" w:rsidRPr="005319D3" w:rsidRDefault="003828EA" w:rsidP="003828EA">
      <w:pPr>
        <w:spacing w:after="120" w:line="240" w:lineRule="auto"/>
        <w:rPr>
          <w:rFonts w:asciiTheme="minorHAnsi" w:hAnsiTheme="minorHAnsi" w:cstheme="minorHAnsi"/>
          <w:color w:val="000000"/>
          <w:sz w:val="24"/>
          <w:szCs w:val="24"/>
        </w:rPr>
      </w:pPr>
      <w:r w:rsidRPr="005319D3">
        <w:rPr>
          <w:rFonts w:asciiTheme="minorHAnsi" w:hAnsiTheme="minorHAnsi" w:cstheme="minorHAnsi"/>
          <w:color w:val="000000"/>
          <w:sz w:val="24"/>
          <w:szCs w:val="24"/>
        </w:rPr>
        <w:t xml:space="preserve">Janet Swim and her coauthors provide accounts of encounters with "everyday racism" by African American college students. Their description of these experiences and the details of students' responses to them are eye opening. </w:t>
      </w:r>
    </w:p>
    <w:p w:rsidR="003828EA" w:rsidRPr="00AE3D2F" w:rsidRDefault="006376E9" w:rsidP="00AE3D2F">
      <w:pPr>
        <w:pStyle w:val="NoSpacing"/>
        <w:rPr>
          <w:sz w:val="24"/>
          <w:szCs w:val="24"/>
        </w:rPr>
      </w:pPr>
      <w:r w:rsidRPr="006376E9">
        <w:rPr>
          <w:sz w:val="24"/>
          <w:szCs w:val="24"/>
          <w:u w:val="single"/>
        </w:rPr>
        <w:t>Questions to Consider:</w:t>
      </w:r>
      <w:bookmarkStart w:id="0" w:name="_GoBack"/>
      <w:bookmarkEnd w:id="0"/>
    </w:p>
    <w:p w:rsidR="003828EA" w:rsidRPr="00AE3D2F" w:rsidRDefault="003828EA" w:rsidP="00AE3D2F">
      <w:pPr>
        <w:pStyle w:val="NoSpacing"/>
        <w:numPr>
          <w:ilvl w:val="0"/>
          <w:numId w:val="10"/>
        </w:numPr>
        <w:rPr>
          <w:sz w:val="24"/>
          <w:szCs w:val="24"/>
        </w:rPr>
      </w:pPr>
      <w:r w:rsidRPr="00AE3D2F">
        <w:rPr>
          <w:sz w:val="24"/>
          <w:szCs w:val="24"/>
        </w:rPr>
        <w:t xml:space="preserve">What are some examples of the interactions between race, gender, and class that are evident in the experiences presented? </w:t>
      </w:r>
    </w:p>
    <w:p w:rsidR="003828EA" w:rsidRPr="005319D3" w:rsidRDefault="006376E9" w:rsidP="003828EA">
      <w:pPr>
        <w:spacing w:after="120" w:line="240" w:lineRule="auto"/>
        <w:rPr>
          <w:rFonts w:asciiTheme="minorHAnsi" w:hAnsiTheme="minorHAnsi" w:cstheme="minorHAnsi"/>
          <w:color w:val="000000"/>
          <w:sz w:val="24"/>
          <w:szCs w:val="24"/>
        </w:rPr>
      </w:pPr>
      <w:r>
        <w:rPr>
          <w:rFonts w:asciiTheme="minorHAnsi" w:hAnsiTheme="minorHAnsi" w:cstheme="minorHAnsi"/>
          <w:color w:val="000000"/>
          <w:sz w:val="24"/>
          <w:szCs w:val="24"/>
        </w:rPr>
        <w:pict>
          <v:rect id="_x0000_i1025" style="width:351pt;height:1.5pt" o:hrpct="750" o:hralign="center" o:hrstd="t" o:hr="t" fillcolor="#aca899" stroked="f"/>
        </w:pict>
      </w:r>
    </w:p>
    <w:p w:rsidR="00823B3A" w:rsidRDefault="00823B3A" w:rsidP="003828EA">
      <w:pPr>
        <w:spacing w:after="120" w:line="240" w:lineRule="auto"/>
        <w:rPr>
          <w:rFonts w:asciiTheme="minorHAnsi" w:hAnsiTheme="minorHAnsi"/>
          <w:sz w:val="24"/>
          <w:szCs w:val="24"/>
        </w:rPr>
      </w:pPr>
    </w:p>
    <w:p w:rsidR="003828EA" w:rsidRPr="005319D3" w:rsidRDefault="006376E9" w:rsidP="003828EA">
      <w:pPr>
        <w:spacing w:after="120" w:line="240" w:lineRule="auto"/>
        <w:rPr>
          <w:rFonts w:asciiTheme="minorHAnsi" w:hAnsiTheme="minorHAnsi"/>
          <w:sz w:val="24"/>
          <w:szCs w:val="24"/>
        </w:rPr>
      </w:pPr>
      <w:hyperlink r:id="rId7" w:history="1">
        <w:proofErr w:type="gramStart"/>
        <w:r w:rsidR="003828EA" w:rsidRPr="00823B3A">
          <w:rPr>
            <w:rStyle w:val="Hyperlink"/>
            <w:rFonts w:asciiTheme="minorHAnsi" w:hAnsiTheme="minorHAnsi"/>
            <w:sz w:val="24"/>
            <w:szCs w:val="24"/>
          </w:rPr>
          <w:t xml:space="preserve">Winslow, M., Aaron, A., &amp; </w:t>
        </w:r>
        <w:proofErr w:type="spellStart"/>
        <w:r w:rsidR="003828EA" w:rsidRPr="00823B3A">
          <w:rPr>
            <w:rStyle w:val="Hyperlink"/>
            <w:rFonts w:asciiTheme="minorHAnsi" w:hAnsiTheme="minorHAnsi"/>
            <w:sz w:val="24"/>
            <w:szCs w:val="24"/>
          </w:rPr>
          <w:t>Amadife</w:t>
        </w:r>
        <w:proofErr w:type="spellEnd"/>
        <w:r w:rsidR="003828EA" w:rsidRPr="00823B3A">
          <w:rPr>
            <w:rStyle w:val="Hyperlink"/>
            <w:rFonts w:asciiTheme="minorHAnsi" w:hAnsiTheme="minorHAnsi"/>
            <w:sz w:val="24"/>
            <w:szCs w:val="24"/>
          </w:rPr>
          <w:t>, E. (2011).</w:t>
        </w:r>
        <w:proofErr w:type="gramEnd"/>
        <w:r w:rsidR="003828EA" w:rsidRPr="00823B3A">
          <w:rPr>
            <w:rStyle w:val="Hyperlink"/>
            <w:rFonts w:asciiTheme="minorHAnsi" w:hAnsiTheme="minorHAnsi"/>
            <w:sz w:val="24"/>
            <w:szCs w:val="24"/>
          </w:rPr>
          <w:t xml:space="preserve"> </w:t>
        </w:r>
        <w:proofErr w:type="gramStart"/>
        <w:r w:rsidR="003828EA" w:rsidRPr="00823B3A">
          <w:rPr>
            <w:rStyle w:val="Hyperlink"/>
            <w:rFonts w:asciiTheme="minorHAnsi" w:hAnsiTheme="minorHAnsi"/>
            <w:sz w:val="24"/>
            <w:szCs w:val="24"/>
          </w:rPr>
          <w:t>A</w:t>
        </w:r>
        <w:r w:rsidR="00D813E8" w:rsidRPr="00823B3A">
          <w:rPr>
            <w:rStyle w:val="Hyperlink"/>
            <w:rFonts w:asciiTheme="minorHAnsi" w:hAnsiTheme="minorHAnsi"/>
            <w:sz w:val="24"/>
            <w:szCs w:val="24"/>
          </w:rPr>
          <w:t>frican Americans' Lay Theories a</w:t>
        </w:r>
        <w:r w:rsidR="003828EA" w:rsidRPr="00823B3A">
          <w:rPr>
            <w:rStyle w:val="Hyperlink"/>
            <w:rFonts w:asciiTheme="minorHAnsi" w:hAnsiTheme="minorHAnsi"/>
            <w:sz w:val="24"/>
            <w:szCs w:val="24"/>
          </w:rPr>
          <w:t xml:space="preserve">bout the Detection of Prejudice and </w:t>
        </w:r>
        <w:proofErr w:type="spellStart"/>
        <w:r w:rsidR="003828EA" w:rsidRPr="00823B3A">
          <w:rPr>
            <w:rStyle w:val="Hyperlink"/>
            <w:rFonts w:asciiTheme="minorHAnsi" w:hAnsiTheme="minorHAnsi"/>
            <w:sz w:val="24"/>
            <w:szCs w:val="24"/>
          </w:rPr>
          <w:t>Nonprejudice</w:t>
        </w:r>
        <w:proofErr w:type="spellEnd"/>
        <w:r w:rsidR="003828EA" w:rsidRPr="00823B3A">
          <w:rPr>
            <w:rStyle w:val="Hyperlink"/>
            <w:rFonts w:asciiTheme="minorHAnsi" w:hAnsiTheme="minorHAnsi"/>
            <w:sz w:val="24"/>
            <w:szCs w:val="24"/>
          </w:rPr>
          <w:t>.</w:t>
        </w:r>
        <w:proofErr w:type="gramEnd"/>
        <w:r w:rsidR="003828EA" w:rsidRPr="00823B3A">
          <w:rPr>
            <w:rStyle w:val="Hyperlink"/>
            <w:rFonts w:asciiTheme="minorHAnsi" w:hAnsiTheme="minorHAnsi"/>
            <w:sz w:val="24"/>
            <w:szCs w:val="24"/>
          </w:rPr>
          <w:t xml:space="preserve"> </w:t>
        </w:r>
        <w:r w:rsidR="003828EA" w:rsidRPr="00823B3A">
          <w:rPr>
            <w:rStyle w:val="Hyperlink"/>
            <w:rFonts w:asciiTheme="minorHAnsi" w:hAnsiTheme="minorHAnsi"/>
            <w:i/>
            <w:iCs/>
            <w:sz w:val="24"/>
            <w:szCs w:val="24"/>
          </w:rPr>
          <w:t>Journal of Black Studies,</w:t>
        </w:r>
        <w:r w:rsidR="003828EA" w:rsidRPr="00823B3A">
          <w:rPr>
            <w:rStyle w:val="Hyperlink"/>
            <w:rFonts w:asciiTheme="minorHAnsi" w:hAnsiTheme="minorHAnsi"/>
            <w:sz w:val="24"/>
            <w:szCs w:val="24"/>
          </w:rPr>
          <w:t xml:space="preserve"> </w:t>
        </w:r>
        <w:r w:rsidR="003828EA" w:rsidRPr="00823B3A">
          <w:rPr>
            <w:rStyle w:val="Hyperlink"/>
            <w:rFonts w:asciiTheme="minorHAnsi" w:hAnsiTheme="minorHAnsi"/>
            <w:i/>
            <w:iCs/>
            <w:sz w:val="24"/>
            <w:szCs w:val="24"/>
          </w:rPr>
          <w:t>42</w:t>
        </w:r>
        <w:r w:rsidR="003828EA" w:rsidRPr="00823B3A">
          <w:rPr>
            <w:rStyle w:val="Hyperlink"/>
            <w:rFonts w:asciiTheme="minorHAnsi" w:hAnsiTheme="minorHAnsi"/>
            <w:sz w:val="24"/>
            <w:szCs w:val="24"/>
          </w:rPr>
          <w:t>(1), 43-70.</w:t>
        </w:r>
      </w:hyperlink>
    </w:p>
    <w:p w:rsidR="00D813E8" w:rsidRPr="005319D3" w:rsidRDefault="003828EA" w:rsidP="003828EA">
      <w:pPr>
        <w:spacing w:after="120" w:line="240" w:lineRule="auto"/>
        <w:rPr>
          <w:rFonts w:asciiTheme="minorHAnsi" w:hAnsiTheme="minorHAnsi" w:cstheme="minorHAnsi"/>
          <w:color w:val="000000"/>
          <w:sz w:val="24"/>
          <w:szCs w:val="24"/>
        </w:rPr>
      </w:pPr>
      <w:r w:rsidRPr="005319D3">
        <w:rPr>
          <w:rFonts w:asciiTheme="minorHAnsi" w:hAnsiTheme="minorHAnsi" w:cstheme="minorHAnsi"/>
          <w:color w:val="000000"/>
          <w:sz w:val="24"/>
          <w:szCs w:val="24"/>
        </w:rPr>
        <w:t>This article examines the dynamics of social perceptions of prejudice and non-prejudice among African American university students.  Pointing out that most previous studies presented participants with fictional, researcher-constructed situations, the authors suggest that prompting real-life descriptions from people who have been the targets of prejudice is the necessary complement to older studies.  Thus, they designed their study to focus on the most common behaviors that indicate prejudice and the most common indications of non-prejudice, using open-ended questions to elicit how African Americans perceive prejudice.</w:t>
      </w:r>
    </w:p>
    <w:p w:rsidR="003828EA" w:rsidRPr="00AE3D2F" w:rsidRDefault="006376E9" w:rsidP="00AE3D2F">
      <w:pPr>
        <w:pStyle w:val="NoSpacing"/>
        <w:rPr>
          <w:sz w:val="24"/>
          <w:szCs w:val="24"/>
        </w:rPr>
      </w:pPr>
      <w:r w:rsidRPr="006376E9">
        <w:rPr>
          <w:sz w:val="24"/>
          <w:szCs w:val="24"/>
          <w:u w:val="single"/>
        </w:rPr>
        <w:t>Questions to Consider:</w:t>
      </w:r>
    </w:p>
    <w:p w:rsidR="003828EA" w:rsidRPr="00AE3D2F" w:rsidRDefault="003828EA" w:rsidP="00AE3D2F">
      <w:pPr>
        <w:pStyle w:val="NoSpacing"/>
        <w:numPr>
          <w:ilvl w:val="0"/>
          <w:numId w:val="11"/>
        </w:numPr>
        <w:rPr>
          <w:sz w:val="24"/>
          <w:szCs w:val="24"/>
        </w:rPr>
      </w:pPr>
      <w:r w:rsidRPr="00AE3D2F">
        <w:rPr>
          <w:sz w:val="24"/>
          <w:szCs w:val="24"/>
        </w:rPr>
        <w:t>What are the most common indicators of prejudice that the study found?</w:t>
      </w:r>
    </w:p>
    <w:p w:rsidR="003828EA" w:rsidRPr="00AE3D2F" w:rsidRDefault="003828EA" w:rsidP="00AE3D2F">
      <w:pPr>
        <w:pStyle w:val="NoSpacing"/>
        <w:numPr>
          <w:ilvl w:val="0"/>
          <w:numId w:val="11"/>
        </w:numPr>
        <w:rPr>
          <w:sz w:val="24"/>
          <w:szCs w:val="24"/>
        </w:rPr>
      </w:pPr>
      <w:r w:rsidRPr="00AE3D2F">
        <w:rPr>
          <w:sz w:val="24"/>
          <w:szCs w:val="24"/>
        </w:rPr>
        <w:t>What are the most common indicators of non-prejudice?</w:t>
      </w:r>
    </w:p>
    <w:p w:rsidR="003828EA" w:rsidRPr="00AE3D2F" w:rsidRDefault="003828EA" w:rsidP="00AE3D2F">
      <w:pPr>
        <w:pStyle w:val="NoSpacing"/>
        <w:numPr>
          <w:ilvl w:val="0"/>
          <w:numId w:val="11"/>
        </w:numPr>
        <w:rPr>
          <w:sz w:val="24"/>
          <w:szCs w:val="24"/>
        </w:rPr>
      </w:pPr>
      <w:r w:rsidRPr="00AE3D2F">
        <w:rPr>
          <w:sz w:val="24"/>
          <w:szCs w:val="24"/>
        </w:rPr>
        <w:t>What do the authors mean by “Whites’ impression management behavior related to prejudice”?  Can you think of any specific examples of this kind of behavior?</w:t>
      </w:r>
    </w:p>
    <w:p w:rsidR="003828EA" w:rsidRPr="00AE3D2F" w:rsidRDefault="003828EA" w:rsidP="00AE3D2F">
      <w:pPr>
        <w:pStyle w:val="NoSpacing"/>
        <w:numPr>
          <w:ilvl w:val="0"/>
          <w:numId w:val="11"/>
        </w:numPr>
        <w:rPr>
          <w:sz w:val="24"/>
          <w:szCs w:val="24"/>
        </w:rPr>
      </w:pPr>
      <w:r w:rsidRPr="00AE3D2F">
        <w:rPr>
          <w:sz w:val="24"/>
          <w:szCs w:val="24"/>
        </w:rPr>
        <w:t>What advice do the study participants give to Whites in order to be convincingly non-prejudiced?</w:t>
      </w:r>
    </w:p>
    <w:p w:rsidR="003828EA" w:rsidRPr="005319D3" w:rsidRDefault="006376E9" w:rsidP="003828EA">
      <w:pPr>
        <w:spacing w:after="120" w:line="240" w:lineRule="auto"/>
        <w:rPr>
          <w:rFonts w:asciiTheme="minorHAnsi" w:hAnsiTheme="minorHAnsi" w:cstheme="minorHAnsi"/>
          <w:color w:val="000000"/>
          <w:sz w:val="24"/>
          <w:szCs w:val="24"/>
        </w:rPr>
      </w:pPr>
      <w:r>
        <w:rPr>
          <w:rFonts w:asciiTheme="minorHAnsi" w:hAnsiTheme="minorHAnsi" w:cstheme="minorHAnsi"/>
          <w:color w:val="000000"/>
          <w:sz w:val="24"/>
          <w:szCs w:val="24"/>
        </w:rPr>
        <w:pict>
          <v:rect id="_x0000_i1026" style="width:351pt;height:1.5pt" o:hrpct="750" o:hralign="center" o:hrstd="t" o:hr="t" fillcolor="#aca899" stroked="f"/>
        </w:pict>
      </w:r>
    </w:p>
    <w:p w:rsidR="003828EA" w:rsidRPr="005319D3" w:rsidRDefault="006376E9" w:rsidP="003828EA">
      <w:pPr>
        <w:spacing w:after="120" w:line="240" w:lineRule="auto"/>
        <w:rPr>
          <w:rFonts w:asciiTheme="minorHAnsi" w:hAnsiTheme="minorHAnsi"/>
          <w:sz w:val="24"/>
          <w:szCs w:val="24"/>
        </w:rPr>
      </w:pPr>
      <w:hyperlink r:id="rId8" w:history="1">
        <w:proofErr w:type="gramStart"/>
        <w:r w:rsidR="003828EA" w:rsidRPr="00823B3A">
          <w:rPr>
            <w:rStyle w:val="Hyperlink"/>
            <w:rFonts w:asciiTheme="minorHAnsi" w:hAnsiTheme="minorHAnsi"/>
            <w:sz w:val="24"/>
            <w:szCs w:val="24"/>
          </w:rPr>
          <w:t xml:space="preserve">Pager, D., Western, B., &amp; </w:t>
        </w:r>
        <w:proofErr w:type="spellStart"/>
        <w:r w:rsidR="003828EA" w:rsidRPr="00823B3A">
          <w:rPr>
            <w:rStyle w:val="Hyperlink"/>
            <w:rFonts w:asciiTheme="minorHAnsi" w:hAnsiTheme="minorHAnsi"/>
            <w:sz w:val="24"/>
            <w:szCs w:val="24"/>
          </w:rPr>
          <w:t>Bonikowski</w:t>
        </w:r>
        <w:proofErr w:type="spellEnd"/>
        <w:r w:rsidR="003828EA" w:rsidRPr="00823B3A">
          <w:rPr>
            <w:rStyle w:val="Hyperlink"/>
            <w:rFonts w:asciiTheme="minorHAnsi" w:hAnsiTheme="minorHAnsi"/>
            <w:sz w:val="24"/>
            <w:szCs w:val="24"/>
          </w:rPr>
          <w:t>, B. (2009).</w:t>
        </w:r>
        <w:proofErr w:type="gramEnd"/>
        <w:r w:rsidR="003828EA" w:rsidRPr="00823B3A">
          <w:rPr>
            <w:rStyle w:val="Hyperlink"/>
            <w:rFonts w:asciiTheme="minorHAnsi" w:hAnsiTheme="minorHAnsi"/>
            <w:sz w:val="24"/>
            <w:szCs w:val="24"/>
          </w:rPr>
          <w:t xml:space="preserve"> Discrimination in a Low-Wage Labor Market: A Field Experiment. </w:t>
        </w:r>
        <w:r w:rsidR="003828EA" w:rsidRPr="00823B3A">
          <w:rPr>
            <w:rStyle w:val="Hyperlink"/>
            <w:rFonts w:asciiTheme="minorHAnsi" w:hAnsiTheme="minorHAnsi"/>
            <w:i/>
            <w:iCs/>
            <w:sz w:val="24"/>
            <w:szCs w:val="24"/>
          </w:rPr>
          <w:t>American Sociological Review,</w:t>
        </w:r>
        <w:r w:rsidR="003828EA" w:rsidRPr="00823B3A">
          <w:rPr>
            <w:rStyle w:val="Hyperlink"/>
            <w:rFonts w:asciiTheme="minorHAnsi" w:hAnsiTheme="minorHAnsi"/>
            <w:sz w:val="24"/>
            <w:szCs w:val="24"/>
          </w:rPr>
          <w:t xml:space="preserve"> </w:t>
        </w:r>
        <w:r w:rsidR="003828EA" w:rsidRPr="00823B3A">
          <w:rPr>
            <w:rStyle w:val="Hyperlink"/>
            <w:rFonts w:asciiTheme="minorHAnsi" w:hAnsiTheme="minorHAnsi"/>
            <w:i/>
            <w:iCs/>
            <w:sz w:val="24"/>
            <w:szCs w:val="24"/>
          </w:rPr>
          <w:t>74</w:t>
        </w:r>
        <w:r w:rsidR="003828EA" w:rsidRPr="00823B3A">
          <w:rPr>
            <w:rStyle w:val="Hyperlink"/>
            <w:rFonts w:asciiTheme="minorHAnsi" w:hAnsiTheme="minorHAnsi"/>
            <w:sz w:val="24"/>
            <w:szCs w:val="24"/>
          </w:rPr>
          <w:t>(5), 777-799.</w:t>
        </w:r>
      </w:hyperlink>
    </w:p>
    <w:p w:rsidR="00D813E8" w:rsidRPr="005319D3" w:rsidRDefault="003828EA" w:rsidP="00823B3A">
      <w:pPr>
        <w:spacing w:after="120" w:line="240" w:lineRule="auto"/>
        <w:ind w:left="720"/>
        <w:rPr>
          <w:rFonts w:asciiTheme="minorHAnsi" w:hAnsiTheme="minorHAnsi" w:cstheme="minorHAnsi"/>
          <w:bCs/>
          <w:color w:val="000000"/>
          <w:sz w:val="24"/>
          <w:szCs w:val="24"/>
        </w:rPr>
      </w:pPr>
      <w:r w:rsidRPr="005319D3">
        <w:rPr>
          <w:rFonts w:asciiTheme="minorHAnsi" w:hAnsiTheme="minorHAnsi" w:cstheme="minorHAnsi"/>
          <w:bCs/>
          <w:color w:val="000000"/>
          <w:sz w:val="24"/>
          <w:szCs w:val="24"/>
        </w:rPr>
        <w:t>This article describes a field experiment to study contemporary discrimination in the low-wage labor market in New York City.  The racially diverse study participants were given equivalent resumes and sent to apply for entry-level jobs.  Results from the study show that race plays a significant part in whether applicants receive a callback or job offer.</w:t>
      </w:r>
    </w:p>
    <w:p w:rsidR="003828EA" w:rsidRPr="00AE3D2F" w:rsidRDefault="006376E9" w:rsidP="00823B3A">
      <w:pPr>
        <w:pStyle w:val="NoSpacing"/>
        <w:ind w:left="720"/>
        <w:rPr>
          <w:sz w:val="24"/>
          <w:szCs w:val="24"/>
        </w:rPr>
      </w:pPr>
      <w:r w:rsidRPr="006376E9">
        <w:rPr>
          <w:sz w:val="24"/>
          <w:szCs w:val="24"/>
          <w:u w:val="single"/>
        </w:rPr>
        <w:t>Questions to Consider:</w:t>
      </w:r>
    </w:p>
    <w:p w:rsidR="003828EA" w:rsidRPr="00AE3D2F" w:rsidRDefault="003828EA" w:rsidP="00823B3A">
      <w:pPr>
        <w:pStyle w:val="NoSpacing"/>
        <w:numPr>
          <w:ilvl w:val="0"/>
          <w:numId w:val="12"/>
        </w:numPr>
        <w:ind w:left="1440"/>
        <w:rPr>
          <w:sz w:val="24"/>
          <w:szCs w:val="24"/>
        </w:rPr>
      </w:pPr>
      <w:r w:rsidRPr="00AE3D2F">
        <w:rPr>
          <w:sz w:val="24"/>
          <w:szCs w:val="24"/>
        </w:rPr>
        <w:t>How do the authors break discrimination into component factors (vs. as a single decision)?  What are these factors?</w:t>
      </w:r>
    </w:p>
    <w:p w:rsidR="003828EA" w:rsidRPr="00AE3D2F" w:rsidRDefault="003828EA" w:rsidP="00823B3A">
      <w:pPr>
        <w:pStyle w:val="NoSpacing"/>
        <w:numPr>
          <w:ilvl w:val="0"/>
          <w:numId w:val="12"/>
        </w:numPr>
        <w:ind w:left="1440"/>
        <w:rPr>
          <w:sz w:val="24"/>
          <w:szCs w:val="24"/>
        </w:rPr>
      </w:pPr>
      <w:r w:rsidRPr="00AE3D2F">
        <w:rPr>
          <w:sz w:val="24"/>
          <w:szCs w:val="24"/>
        </w:rPr>
        <w:lastRenderedPageBreak/>
        <w:t>What are the new incentives and opportunities for employers to enact racial preferences in hiring described by the authors?</w:t>
      </w:r>
    </w:p>
    <w:p w:rsidR="003828EA" w:rsidRPr="00AE3D2F" w:rsidRDefault="003828EA" w:rsidP="00823B3A">
      <w:pPr>
        <w:pStyle w:val="NoSpacing"/>
        <w:numPr>
          <w:ilvl w:val="0"/>
          <w:numId w:val="12"/>
        </w:numPr>
        <w:ind w:left="1440"/>
        <w:rPr>
          <w:sz w:val="24"/>
          <w:szCs w:val="24"/>
        </w:rPr>
      </w:pPr>
      <w:r w:rsidRPr="00AE3D2F">
        <w:rPr>
          <w:sz w:val="24"/>
          <w:szCs w:val="24"/>
        </w:rPr>
        <w:t>Summarize the basic findings of the study.  Would these results have been similar in other major cities in the United States?  Why or why not?</w:t>
      </w:r>
    </w:p>
    <w:p w:rsidR="003828EA" w:rsidRPr="005319D3" w:rsidRDefault="006376E9" w:rsidP="003828EA">
      <w:pPr>
        <w:spacing w:after="120" w:line="240" w:lineRule="auto"/>
        <w:rPr>
          <w:rFonts w:asciiTheme="minorHAnsi" w:hAnsiTheme="minorHAnsi" w:cstheme="minorHAnsi"/>
          <w:color w:val="000000"/>
          <w:sz w:val="24"/>
          <w:szCs w:val="24"/>
        </w:rPr>
      </w:pPr>
      <w:r>
        <w:rPr>
          <w:rFonts w:asciiTheme="minorHAnsi" w:hAnsiTheme="minorHAnsi" w:cstheme="minorHAnsi"/>
          <w:color w:val="000000"/>
          <w:sz w:val="24"/>
          <w:szCs w:val="24"/>
        </w:rPr>
        <w:pict>
          <v:rect id="_x0000_i1027" style="width:351pt;height:1.5pt" o:hrpct="750" o:hralign="center" o:hrstd="t" o:hr="t" fillcolor="#aca899" stroked="f"/>
        </w:pict>
      </w:r>
    </w:p>
    <w:p w:rsidR="003828EA" w:rsidRPr="005319D3" w:rsidRDefault="006376E9" w:rsidP="003828EA">
      <w:pPr>
        <w:spacing w:after="120" w:line="240" w:lineRule="auto"/>
        <w:rPr>
          <w:rFonts w:asciiTheme="minorHAnsi" w:hAnsiTheme="minorHAnsi" w:cs="Arial"/>
          <w:color w:val="333333"/>
          <w:sz w:val="24"/>
          <w:szCs w:val="24"/>
          <w:shd w:val="clear" w:color="auto" w:fill="FFFFFF"/>
        </w:rPr>
      </w:pPr>
      <w:hyperlink r:id="rId9" w:history="1">
        <w:proofErr w:type="spellStart"/>
        <w:r w:rsidR="00133031" w:rsidRPr="00823B3A">
          <w:rPr>
            <w:rStyle w:val="Hyperlink"/>
            <w:rFonts w:asciiTheme="minorHAnsi" w:hAnsiTheme="minorHAnsi" w:cs="Arial"/>
            <w:sz w:val="24"/>
            <w:szCs w:val="24"/>
            <w:shd w:val="clear" w:color="auto" w:fill="FFFFFF"/>
          </w:rPr>
          <w:t>Berrey</w:t>
        </w:r>
        <w:proofErr w:type="spellEnd"/>
        <w:r w:rsidR="00133031" w:rsidRPr="00823B3A">
          <w:rPr>
            <w:rStyle w:val="Hyperlink"/>
            <w:rFonts w:asciiTheme="minorHAnsi" w:hAnsiTheme="minorHAnsi" w:cs="Arial"/>
            <w:sz w:val="24"/>
            <w:szCs w:val="24"/>
            <w:shd w:val="clear" w:color="auto" w:fill="FFFFFF"/>
          </w:rPr>
          <w:t>, E. (2009). Sociology Finds Discrimination in the Law. </w:t>
        </w:r>
        <w:r w:rsidR="00133031" w:rsidRPr="00823B3A">
          <w:rPr>
            <w:rStyle w:val="Hyperlink"/>
            <w:rFonts w:asciiTheme="minorHAnsi" w:hAnsiTheme="minorHAnsi" w:cs="Arial"/>
            <w:i/>
            <w:iCs/>
            <w:sz w:val="24"/>
            <w:szCs w:val="24"/>
            <w:shd w:val="clear" w:color="auto" w:fill="FFFFFF"/>
          </w:rPr>
          <w:t>Contexts,</w:t>
        </w:r>
        <w:r w:rsidR="00133031" w:rsidRPr="00823B3A">
          <w:rPr>
            <w:rStyle w:val="Hyperlink"/>
            <w:rFonts w:asciiTheme="minorHAnsi" w:hAnsiTheme="minorHAnsi" w:cs="Arial"/>
            <w:sz w:val="24"/>
            <w:szCs w:val="24"/>
            <w:shd w:val="clear" w:color="auto" w:fill="FFFFFF"/>
          </w:rPr>
          <w:t> </w:t>
        </w:r>
        <w:r w:rsidR="00133031" w:rsidRPr="00823B3A">
          <w:rPr>
            <w:rStyle w:val="Hyperlink"/>
            <w:rFonts w:asciiTheme="minorHAnsi" w:hAnsiTheme="minorHAnsi" w:cs="Arial"/>
            <w:i/>
            <w:iCs/>
            <w:sz w:val="24"/>
            <w:szCs w:val="24"/>
            <w:shd w:val="clear" w:color="auto" w:fill="FFFFFF"/>
          </w:rPr>
          <w:t>8</w:t>
        </w:r>
        <w:r w:rsidR="00133031" w:rsidRPr="00823B3A">
          <w:rPr>
            <w:rStyle w:val="Hyperlink"/>
            <w:rFonts w:asciiTheme="minorHAnsi" w:hAnsiTheme="minorHAnsi" w:cs="Arial"/>
            <w:sz w:val="24"/>
            <w:szCs w:val="24"/>
            <w:shd w:val="clear" w:color="auto" w:fill="FFFFFF"/>
          </w:rPr>
          <w:t>(2), 28-32.</w:t>
        </w:r>
      </w:hyperlink>
    </w:p>
    <w:p w:rsidR="00D813E8" w:rsidRPr="005319D3" w:rsidRDefault="003828EA" w:rsidP="00823B3A">
      <w:pPr>
        <w:spacing w:after="120" w:line="240" w:lineRule="auto"/>
        <w:ind w:left="720"/>
        <w:rPr>
          <w:rFonts w:asciiTheme="minorHAnsi" w:hAnsiTheme="minorHAnsi" w:cstheme="minorHAnsi"/>
          <w:bCs/>
          <w:color w:val="000000"/>
          <w:sz w:val="24"/>
          <w:szCs w:val="24"/>
        </w:rPr>
      </w:pPr>
      <w:r w:rsidRPr="005319D3">
        <w:rPr>
          <w:rFonts w:asciiTheme="minorHAnsi" w:hAnsiTheme="minorHAnsi" w:cstheme="minorHAnsi"/>
          <w:bCs/>
          <w:color w:val="000000"/>
          <w:sz w:val="24"/>
          <w:szCs w:val="24"/>
        </w:rPr>
        <w:t xml:space="preserve">This article describes the experience of Chris Burns, an African American man who was fired after being injured on the job and requesting different work responsibilities.  Burns’ experience illustrates the fact that workplace inequalities persist despite civil rights reforms.  </w:t>
      </w:r>
      <w:proofErr w:type="spellStart"/>
      <w:r w:rsidRPr="005319D3">
        <w:rPr>
          <w:rFonts w:asciiTheme="minorHAnsi" w:hAnsiTheme="minorHAnsi" w:cstheme="minorHAnsi"/>
          <w:bCs/>
          <w:color w:val="000000"/>
          <w:sz w:val="24"/>
          <w:szCs w:val="24"/>
        </w:rPr>
        <w:t>Berrey</w:t>
      </w:r>
      <w:proofErr w:type="spellEnd"/>
      <w:r w:rsidRPr="005319D3">
        <w:rPr>
          <w:rFonts w:asciiTheme="minorHAnsi" w:hAnsiTheme="minorHAnsi" w:cstheme="minorHAnsi"/>
          <w:bCs/>
          <w:color w:val="000000"/>
          <w:sz w:val="24"/>
          <w:szCs w:val="24"/>
        </w:rPr>
        <w:t xml:space="preserve"> uses this case to open a rigorous discussion of the complex ways that sociology can be used to reveal the deeper workings of social institutions such as the law and employment.  She also makes the critical point that sociology poses as many new questions as it answers old ones.</w:t>
      </w:r>
    </w:p>
    <w:p w:rsidR="003828EA" w:rsidRPr="00AE3D2F" w:rsidRDefault="006376E9" w:rsidP="00823B3A">
      <w:pPr>
        <w:pStyle w:val="NoSpacing"/>
        <w:ind w:left="720"/>
        <w:rPr>
          <w:sz w:val="24"/>
          <w:szCs w:val="24"/>
        </w:rPr>
      </w:pPr>
      <w:r w:rsidRPr="006376E9">
        <w:rPr>
          <w:sz w:val="24"/>
          <w:szCs w:val="24"/>
          <w:u w:val="single"/>
        </w:rPr>
        <w:t>Questions to Consider:</w:t>
      </w:r>
    </w:p>
    <w:p w:rsidR="003828EA" w:rsidRPr="00AE3D2F" w:rsidRDefault="003828EA" w:rsidP="00823B3A">
      <w:pPr>
        <w:pStyle w:val="NoSpacing"/>
        <w:numPr>
          <w:ilvl w:val="0"/>
          <w:numId w:val="13"/>
        </w:numPr>
        <w:ind w:left="1440"/>
        <w:rPr>
          <w:sz w:val="24"/>
          <w:szCs w:val="24"/>
        </w:rPr>
      </w:pPr>
      <w:r w:rsidRPr="00AE3D2F">
        <w:rPr>
          <w:sz w:val="24"/>
          <w:szCs w:val="24"/>
        </w:rPr>
        <w:t>What were the findings of the study relative to workplace discrimination?</w:t>
      </w:r>
    </w:p>
    <w:p w:rsidR="003828EA" w:rsidRPr="00AE3D2F" w:rsidRDefault="003828EA" w:rsidP="00823B3A">
      <w:pPr>
        <w:pStyle w:val="NoSpacing"/>
        <w:numPr>
          <w:ilvl w:val="0"/>
          <w:numId w:val="13"/>
        </w:numPr>
        <w:ind w:left="1440"/>
        <w:rPr>
          <w:sz w:val="24"/>
          <w:szCs w:val="24"/>
        </w:rPr>
      </w:pPr>
      <w:r w:rsidRPr="00AE3D2F">
        <w:rPr>
          <w:sz w:val="24"/>
          <w:szCs w:val="24"/>
        </w:rPr>
        <w:t>Why is it so difficult to be successful when litigating a discrimination complaint?  What role do judges in discrimination cases take in obscuring workplace discrimination?</w:t>
      </w:r>
    </w:p>
    <w:p w:rsidR="003828EA" w:rsidRPr="00AE3D2F" w:rsidRDefault="003828EA" w:rsidP="00823B3A">
      <w:pPr>
        <w:pStyle w:val="NoSpacing"/>
        <w:numPr>
          <w:ilvl w:val="0"/>
          <w:numId w:val="13"/>
        </w:numPr>
        <w:ind w:left="1440"/>
        <w:rPr>
          <w:sz w:val="24"/>
          <w:szCs w:val="24"/>
        </w:rPr>
      </w:pPr>
      <w:r w:rsidRPr="00AE3D2F">
        <w:rPr>
          <w:sz w:val="24"/>
          <w:szCs w:val="24"/>
        </w:rPr>
        <w:t>What are the specific new employer interventions that the author cites as “promising alternatives”?</w:t>
      </w:r>
    </w:p>
    <w:p w:rsidR="003828EA" w:rsidRPr="005319D3" w:rsidRDefault="006376E9" w:rsidP="003828EA">
      <w:pPr>
        <w:spacing w:after="120" w:line="240" w:lineRule="auto"/>
        <w:rPr>
          <w:rFonts w:asciiTheme="minorHAnsi" w:hAnsiTheme="minorHAnsi" w:cstheme="minorHAnsi"/>
          <w:b/>
          <w:bCs/>
          <w:color w:val="000000"/>
          <w:sz w:val="24"/>
          <w:szCs w:val="24"/>
        </w:rPr>
      </w:pPr>
      <w:r>
        <w:rPr>
          <w:rFonts w:asciiTheme="minorHAnsi" w:hAnsiTheme="minorHAnsi" w:cstheme="minorHAnsi"/>
          <w:color w:val="000000"/>
          <w:sz w:val="24"/>
          <w:szCs w:val="24"/>
        </w:rPr>
        <w:pict>
          <v:rect id="_x0000_i1028" style="width:351pt;height:1.5pt" o:hrpct="750" o:hralign="center" o:hrstd="t" o:hr="t" fillcolor="#aca899" stroked="f"/>
        </w:pict>
      </w:r>
    </w:p>
    <w:p w:rsidR="003828EA" w:rsidRPr="005319D3" w:rsidRDefault="006376E9" w:rsidP="003828EA">
      <w:pPr>
        <w:spacing w:after="120" w:line="240" w:lineRule="auto"/>
        <w:rPr>
          <w:rFonts w:asciiTheme="minorHAnsi" w:hAnsiTheme="minorHAnsi"/>
          <w:sz w:val="24"/>
          <w:szCs w:val="24"/>
        </w:rPr>
      </w:pPr>
      <w:hyperlink r:id="rId10" w:history="1">
        <w:r w:rsidR="00133031" w:rsidRPr="00823B3A">
          <w:rPr>
            <w:rStyle w:val="Hyperlink"/>
            <w:rFonts w:asciiTheme="minorHAnsi" w:hAnsiTheme="minorHAnsi"/>
            <w:sz w:val="24"/>
            <w:szCs w:val="24"/>
          </w:rPr>
          <w:t xml:space="preserve">Hawkins, D. (2011). Things Fall Apart: Revisiting Race and Ethnic Differences in Criminal Violence Amidst a Crime Drop. </w:t>
        </w:r>
        <w:r w:rsidR="00133031" w:rsidRPr="00823B3A">
          <w:rPr>
            <w:rStyle w:val="Hyperlink"/>
            <w:rFonts w:asciiTheme="minorHAnsi" w:hAnsiTheme="minorHAnsi"/>
            <w:i/>
            <w:iCs/>
            <w:sz w:val="24"/>
            <w:szCs w:val="24"/>
          </w:rPr>
          <w:t>Race and Justice,</w:t>
        </w:r>
        <w:r w:rsidR="00133031" w:rsidRPr="00823B3A">
          <w:rPr>
            <w:rStyle w:val="Hyperlink"/>
            <w:rFonts w:asciiTheme="minorHAnsi" w:hAnsiTheme="minorHAnsi"/>
            <w:sz w:val="24"/>
            <w:szCs w:val="24"/>
          </w:rPr>
          <w:t xml:space="preserve"> </w:t>
        </w:r>
        <w:r w:rsidR="00133031" w:rsidRPr="00823B3A">
          <w:rPr>
            <w:rStyle w:val="Hyperlink"/>
            <w:rFonts w:asciiTheme="minorHAnsi" w:hAnsiTheme="minorHAnsi"/>
            <w:i/>
            <w:iCs/>
            <w:sz w:val="24"/>
            <w:szCs w:val="24"/>
          </w:rPr>
          <w:t>1</w:t>
        </w:r>
        <w:r w:rsidR="00133031" w:rsidRPr="00823B3A">
          <w:rPr>
            <w:rStyle w:val="Hyperlink"/>
            <w:rFonts w:asciiTheme="minorHAnsi" w:hAnsiTheme="minorHAnsi"/>
            <w:sz w:val="24"/>
            <w:szCs w:val="24"/>
          </w:rPr>
          <w:t>(1), 3-48.</w:t>
        </w:r>
      </w:hyperlink>
    </w:p>
    <w:p w:rsidR="003828EA" w:rsidRPr="005319D3" w:rsidRDefault="003828EA" w:rsidP="00823B3A">
      <w:pPr>
        <w:spacing w:after="120" w:line="240" w:lineRule="auto"/>
        <w:ind w:left="720"/>
        <w:rPr>
          <w:rFonts w:asciiTheme="minorHAnsi" w:hAnsiTheme="minorHAnsi" w:cstheme="minorHAnsi"/>
          <w:sz w:val="24"/>
          <w:szCs w:val="24"/>
        </w:rPr>
      </w:pPr>
      <w:r w:rsidRPr="005319D3">
        <w:rPr>
          <w:rFonts w:asciiTheme="minorHAnsi" w:hAnsiTheme="minorHAnsi" w:cstheme="minorHAnsi"/>
          <w:sz w:val="24"/>
          <w:szCs w:val="24"/>
        </w:rPr>
        <w:t xml:space="preserve">This article discusses the relationship between race/ethnicity and criminal violence, posing the question of what factors account for ethnic and racial disparities in criminal offending.  Presenting the answer in terms of long-term experiences of a particular form of institutional discrimination – internal colonialism – the author argues that little progress has been made in the ways that the social sciences (sociology and criminology in particular) provide explanations for these disparities.  </w:t>
      </w:r>
    </w:p>
    <w:p w:rsidR="003828EA" w:rsidRPr="00AE3D2F" w:rsidRDefault="006376E9" w:rsidP="00823B3A">
      <w:pPr>
        <w:pStyle w:val="NoSpacing"/>
        <w:ind w:left="720"/>
        <w:rPr>
          <w:sz w:val="24"/>
          <w:szCs w:val="24"/>
        </w:rPr>
      </w:pPr>
      <w:r w:rsidRPr="006376E9">
        <w:rPr>
          <w:sz w:val="24"/>
          <w:szCs w:val="24"/>
          <w:u w:val="single"/>
        </w:rPr>
        <w:t>Questions to Consider:</w:t>
      </w:r>
    </w:p>
    <w:p w:rsidR="003828EA" w:rsidRPr="00AE3D2F" w:rsidRDefault="003828EA" w:rsidP="00823B3A">
      <w:pPr>
        <w:pStyle w:val="NoSpacing"/>
        <w:numPr>
          <w:ilvl w:val="0"/>
          <w:numId w:val="14"/>
        </w:numPr>
        <w:ind w:left="1440"/>
        <w:rPr>
          <w:bCs/>
          <w:color w:val="000000"/>
          <w:sz w:val="24"/>
          <w:szCs w:val="24"/>
        </w:rPr>
      </w:pPr>
      <w:r w:rsidRPr="00AE3D2F">
        <w:rPr>
          <w:bCs/>
          <w:color w:val="000000"/>
          <w:sz w:val="24"/>
          <w:szCs w:val="24"/>
        </w:rPr>
        <w:t>What are the ‘‘real world’’ developments related to criminal violence and other crime in the United States that the author cites?  What was the response to these events from American social science/criminology?</w:t>
      </w:r>
    </w:p>
    <w:p w:rsidR="003828EA" w:rsidRPr="00AE3D2F" w:rsidRDefault="003828EA" w:rsidP="00823B3A">
      <w:pPr>
        <w:pStyle w:val="NoSpacing"/>
        <w:numPr>
          <w:ilvl w:val="0"/>
          <w:numId w:val="14"/>
        </w:numPr>
        <w:ind w:left="1440"/>
        <w:rPr>
          <w:bCs/>
          <w:color w:val="000000"/>
          <w:sz w:val="24"/>
          <w:szCs w:val="24"/>
        </w:rPr>
      </w:pPr>
      <w:r w:rsidRPr="00AE3D2F">
        <w:rPr>
          <w:bCs/>
          <w:color w:val="000000"/>
          <w:sz w:val="24"/>
          <w:szCs w:val="24"/>
        </w:rPr>
        <w:t>What are the phenomena of “the crime drop” and/or “the great crime decline”?  Why are these phenomena important to the general argument of this article?</w:t>
      </w:r>
    </w:p>
    <w:p w:rsidR="003828EA" w:rsidRPr="00AE3D2F" w:rsidRDefault="003828EA" w:rsidP="00823B3A">
      <w:pPr>
        <w:pStyle w:val="NoSpacing"/>
        <w:numPr>
          <w:ilvl w:val="0"/>
          <w:numId w:val="14"/>
        </w:numPr>
        <w:ind w:left="1440"/>
        <w:rPr>
          <w:bCs/>
          <w:color w:val="000000"/>
          <w:sz w:val="24"/>
          <w:szCs w:val="24"/>
        </w:rPr>
      </w:pPr>
      <w:r w:rsidRPr="00AE3D2F">
        <w:rPr>
          <w:bCs/>
          <w:color w:val="000000"/>
          <w:sz w:val="24"/>
          <w:szCs w:val="24"/>
        </w:rPr>
        <w:t>What does the author mean when he argues that there is much evidence that the structure of our academic discipline[s] itself retards such progress?</w:t>
      </w:r>
    </w:p>
    <w:p w:rsidR="00133031" w:rsidRPr="005319D3" w:rsidRDefault="006376E9" w:rsidP="003828EA">
      <w:pPr>
        <w:rPr>
          <w:rFonts w:asciiTheme="minorHAnsi" w:hAnsiTheme="minorHAnsi" w:cstheme="minorHAnsi"/>
          <w:color w:val="000000"/>
          <w:sz w:val="24"/>
          <w:szCs w:val="24"/>
        </w:rPr>
      </w:pPr>
      <w:r>
        <w:rPr>
          <w:rFonts w:asciiTheme="minorHAnsi" w:hAnsiTheme="minorHAnsi" w:cstheme="minorHAnsi"/>
          <w:color w:val="000000"/>
          <w:sz w:val="24"/>
          <w:szCs w:val="24"/>
        </w:rPr>
        <w:pict>
          <v:rect id="_x0000_i1029" style="width:351pt;height:1.5pt" o:hrpct="750" o:hralign="center" o:hrstd="t" o:hr="t" fillcolor="#aca899" stroked="f"/>
        </w:pict>
      </w:r>
    </w:p>
    <w:p w:rsidR="00133031" w:rsidRPr="005319D3" w:rsidRDefault="006376E9" w:rsidP="003828EA">
      <w:pPr>
        <w:rPr>
          <w:rFonts w:asciiTheme="minorHAnsi" w:hAnsiTheme="minorHAnsi"/>
          <w:sz w:val="24"/>
          <w:szCs w:val="24"/>
        </w:rPr>
      </w:pPr>
      <w:hyperlink r:id="rId11" w:history="1">
        <w:r w:rsidR="00133031" w:rsidRPr="00823B3A">
          <w:rPr>
            <w:rStyle w:val="Hyperlink"/>
            <w:rFonts w:asciiTheme="minorHAnsi" w:hAnsiTheme="minorHAnsi"/>
            <w:sz w:val="24"/>
            <w:szCs w:val="24"/>
          </w:rPr>
          <w:t xml:space="preserve">Ford, T., </w:t>
        </w:r>
        <w:proofErr w:type="spellStart"/>
        <w:r w:rsidR="00133031" w:rsidRPr="00823B3A">
          <w:rPr>
            <w:rStyle w:val="Hyperlink"/>
            <w:rFonts w:asciiTheme="minorHAnsi" w:hAnsiTheme="minorHAnsi"/>
            <w:sz w:val="24"/>
            <w:szCs w:val="24"/>
          </w:rPr>
          <w:t>Woodzicka</w:t>
        </w:r>
        <w:proofErr w:type="spellEnd"/>
        <w:r w:rsidR="00133031" w:rsidRPr="00823B3A">
          <w:rPr>
            <w:rStyle w:val="Hyperlink"/>
            <w:rFonts w:asciiTheme="minorHAnsi" w:hAnsiTheme="minorHAnsi"/>
            <w:sz w:val="24"/>
            <w:szCs w:val="24"/>
          </w:rPr>
          <w:t xml:space="preserve">, J., Triplett, S., </w:t>
        </w:r>
        <w:proofErr w:type="spellStart"/>
        <w:r w:rsidR="00133031" w:rsidRPr="00823B3A">
          <w:rPr>
            <w:rStyle w:val="Hyperlink"/>
            <w:rFonts w:asciiTheme="minorHAnsi" w:hAnsiTheme="minorHAnsi"/>
            <w:sz w:val="24"/>
            <w:szCs w:val="24"/>
          </w:rPr>
          <w:t>Kochersberger</w:t>
        </w:r>
        <w:proofErr w:type="spellEnd"/>
        <w:r w:rsidR="00133031" w:rsidRPr="00823B3A">
          <w:rPr>
            <w:rStyle w:val="Hyperlink"/>
            <w:rFonts w:asciiTheme="minorHAnsi" w:hAnsiTheme="minorHAnsi"/>
            <w:sz w:val="24"/>
            <w:szCs w:val="24"/>
          </w:rPr>
          <w:t xml:space="preserve">, A., &amp; Holden, C. (2014). Not All Groups are Equal: Differential Vulnerability of Social Groups to the Prejudice-Releasing Effects of Disparagement Humor. </w:t>
        </w:r>
        <w:r w:rsidR="00133031" w:rsidRPr="00823B3A">
          <w:rPr>
            <w:rStyle w:val="Hyperlink"/>
            <w:rFonts w:asciiTheme="minorHAnsi" w:hAnsiTheme="minorHAnsi"/>
            <w:i/>
            <w:iCs/>
            <w:sz w:val="24"/>
            <w:szCs w:val="24"/>
          </w:rPr>
          <w:t>Group Processes Intergroup Relations,</w:t>
        </w:r>
        <w:r w:rsidR="00133031" w:rsidRPr="00823B3A">
          <w:rPr>
            <w:rStyle w:val="Hyperlink"/>
            <w:rFonts w:asciiTheme="minorHAnsi" w:hAnsiTheme="minorHAnsi"/>
            <w:sz w:val="24"/>
            <w:szCs w:val="24"/>
          </w:rPr>
          <w:t xml:space="preserve"> </w:t>
        </w:r>
        <w:r w:rsidR="00133031" w:rsidRPr="00823B3A">
          <w:rPr>
            <w:rStyle w:val="Hyperlink"/>
            <w:rFonts w:asciiTheme="minorHAnsi" w:hAnsiTheme="minorHAnsi"/>
            <w:i/>
            <w:iCs/>
            <w:sz w:val="24"/>
            <w:szCs w:val="24"/>
          </w:rPr>
          <w:t>17</w:t>
        </w:r>
        <w:r w:rsidR="00133031" w:rsidRPr="00823B3A">
          <w:rPr>
            <w:rStyle w:val="Hyperlink"/>
            <w:rFonts w:asciiTheme="minorHAnsi" w:hAnsiTheme="minorHAnsi"/>
            <w:sz w:val="24"/>
            <w:szCs w:val="24"/>
          </w:rPr>
          <w:t>(2), 178-199.</w:t>
        </w:r>
      </w:hyperlink>
    </w:p>
    <w:p w:rsidR="00133031" w:rsidRPr="005319D3" w:rsidRDefault="0016203F" w:rsidP="00823B3A">
      <w:pPr>
        <w:ind w:left="720"/>
        <w:rPr>
          <w:rFonts w:asciiTheme="minorHAnsi" w:hAnsiTheme="minorHAnsi" w:cstheme="minorHAnsi"/>
          <w:color w:val="000000"/>
          <w:sz w:val="24"/>
          <w:szCs w:val="24"/>
        </w:rPr>
      </w:pPr>
      <w:r w:rsidRPr="005319D3">
        <w:rPr>
          <w:rFonts w:asciiTheme="minorHAnsi" w:hAnsiTheme="minorHAnsi" w:cstheme="minorHAnsi"/>
          <w:color w:val="000000"/>
          <w:sz w:val="24"/>
          <w:szCs w:val="24"/>
        </w:rPr>
        <w:t xml:space="preserve">This article examines the causal connections between </w:t>
      </w:r>
      <w:proofErr w:type="gramStart"/>
      <w:r w:rsidRPr="005319D3">
        <w:rPr>
          <w:rFonts w:asciiTheme="minorHAnsi" w:hAnsiTheme="minorHAnsi" w:cstheme="minorHAnsi"/>
          <w:color w:val="000000"/>
          <w:sz w:val="24"/>
          <w:szCs w:val="24"/>
        </w:rPr>
        <w:t>humor</w:t>
      </w:r>
      <w:proofErr w:type="gramEnd"/>
      <w:r w:rsidRPr="005319D3">
        <w:rPr>
          <w:rFonts w:asciiTheme="minorHAnsi" w:hAnsiTheme="minorHAnsi" w:cstheme="minorHAnsi"/>
          <w:color w:val="000000"/>
          <w:sz w:val="24"/>
          <w:szCs w:val="24"/>
        </w:rPr>
        <w:t xml:space="preserve"> that disparages some groups leads to heightened discrimination while humor that disparages other groups does not.  The authors detail 3 experiments, each designed to test these connections.</w:t>
      </w:r>
    </w:p>
    <w:p w:rsidR="0016203F" w:rsidRPr="00AE3D2F" w:rsidRDefault="006376E9" w:rsidP="00823B3A">
      <w:pPr>
        <w:pStyle w:val="NoSpacing"/>
        <w:ind w:left="720"/>
        <w:rPr>
          <w:sz w:val="24"/>
          <w:szCs w:val="24"/>
        </w:rPr>
      </w:pPr>
      <w:r w:rsidRPr="006376E9">
        <w:rPr>
          <w:sz w:val="24"/>
          <w:szCs w:val="24"/>
          <w:u w:val="single"/>
        </w:rPr>
        <w:t>Questions to Consider:</w:t>
      </w:r>
    </w:p>
    <w:p w:rsidR="0016203F" w:rsidRPr="00AE3D2F" w:rsidRDefault="0016203F" w:rsidP="00823B3A">
      <w:pPr>
        <w:pStyle w:val="NoSpacing"/>
        <w:numPr>
          <w:ilvl w:val="0"/>
          <w:numId w:val="15"/>
        </w:numPr>
        <w:ind w:left="1440"/>
        <w:rPr>
          <w:sz w:val="24"/>
          <w:szCs w:val="24"/>
        </w:rPr>
      </w:pPr>
      <w:r w:rsidRPr="00AE3D2F">
        <w:rPr>
          <w:sz w:val="24"/>
          <w:szCs w:val="24"/>
        </w:rPr>
        <w:t>Describe experiment 1.  What were the findings?</w:t>
      </w:r>
    </w:p>
    <w:p w:rsidR="0016203F" w:rsidRPr="00AE3D2F" w:rsidRDefault="0016203F" w:rsidP="00823B3A">
      <w:pPr>
        <w:pStyle w:val="NoSpacing"/>
        <w:numPr>
          <w:ilvl w:val="0"/>
          <w:numId w:val="15"/>
        </w:numPr>
        <w:ind w:left="1440"/>
        <w:rPr>
          <w:sz w:val="24"/>
          <w:szCs w:val="24"/>
        </w:rPr>
      </w:pPr>
      <w:r w:rsidRPr="00AE3D2F">
        <w:rPr>
          <w:sz w:val="24"/>
          <w:szCs w:val="24"/>
        </w:rPr>
        <w:t>Describe experiment 2.  What were the findings?</w:t>
      </w:r>
    </w:p>
    <w:p w:rsidR="0016203F" w:rsidRPr="00AE3D2F" w:rsidRDefault="0016203F" w:rsidP="00823B3A">
      <w:pPr>
        <w:pStyle w:val="NoSpacing"/>
        <w:numPr>
          <w:ilvl w:val="0"/>
          <w:numId w:val="15"/>
        </w:numPr>
        <w:ind w:left="1440"/>
        <w:rPr>
          <w:sz w:val="24"/>
          <w:szCs w:val="24"/>
        </w:rPr>
      </w:pPr>
      <w:r w:rsidRPr="00AE3D2F">
        <w:rPr>
          <w:sz w:val="24"/>
          <w:szCs w:val="24"/>
        </w:rPr>
        <w:t>Describe experiment 3.  What were the findings?</w:t>
      </w:r>
    </w:p>
    <w:p w:rsidR="0016203F" w:rsidRPr="00AE3D2F" w:rsidRDefault="0016203F" w:rsidP="00823B3A">
      <w:pPr>
        <w:pStyle w:val="NoSpacing"/>
        <w:numPr>
          <w:ilvl w:val="0"/>
          <w:numId w:val="15"/>
        </w:numPr>
        <w:ind w:left="1440"/>
        <w:rPr>
          <w:sz w:val="24"/>
          <w:szCs w:val="24"/>
        </w:rPr>
      </w:pPr>
      <w:r w:rsidRPr="00AE3D2F">
        <w:rPr>
          <w:sz w:val="24"/>
          <w:szCs w:val="24"/>
        </w:rPr>
        <w:t>In general, what did the authors conclude about disparaging humor?  What social conditions foster a greater level of discrimination as the result of disparaging humor?</w:t>
      </w:r>
    </w:p>
    <w:p w:rsidR="00387DA3" w:rsidRPr="005319D3" w:rsidRDefault="006376E9" w:rsidP="003828EA">
      <w:pPr>
        <w:rPr>
          <w:rFonts w:asciiTheme="minorHAnsi" w:hAnsiTheme="minorHAnsi" w:cstheme="minorHAnsi"/>
          <w:color w:val="000000"/>
          <w:sz w:val="24"/>
          <w:szCs w:val="24"/>
        </w:rPr>
      </w:pPr>
      <w:r>
        <w:rPr>
          <w:rFonts w:asciiTheme="minorHAnsi" w:hAnsiTheme="minorHAnsi" w:cstheme="minorHAnsi"/>
          <w:color w:val="000000"/>
          <w:sz w:val="24"/>
          <w:szCs w:val="24"/>
        </w:rPr>
        <w:pict>
          <v:rect id="_x0000_i1030" style="width:351pt;height:1.5pt" o:hrpct="750" o:hralign="center" o:hrstd="t" o:hr="t" fillcolor="#aca899" stroked="f"/>
        </w:pict>
      </w:r>
    </w:p>
    <w:p w:rsidR="00387DA3" w:rsidRPr="005319D3" w:rsidRDefault="006376E9" w:rsidP="003828EA">
      <w:pPr>
        <w:rPr>
          <w:rFonts w:asciiTheme="minorHAnsi" w:hAnsiTheme="minorHAnsi"/>
          <w:sz w:val="24"/>
          <w:szCs w:val="24"/>
        </w:rPr>
      </w:pPr>
      <w:hyperlink r:id="rId12" w:history="1">
        <w:proofErr w:type="spellStart"/>
        <w:proofErr w:type="gramStart"/>
        <w:r w:rsidR="00387DA3" w:rsidRPr="00823B3A">
          <w:rPr>
            <w:rStyle w:val="Hyperlink"/>
            <w:rFonts w:asciiTheme="minorHAnsi" w:hAnsiTheme="minorHAnsi"/>
            <w:sz w:val="24"/>
            <w:szCs w:val="24"/>
          </w:rPr>
          <w:t>Ghumman</w:t>
        </w:r>
        <w:proofErr w:type="spellEnd"/>
        <w:r w:rsidR="00387DA3" w:rsidRPr="00823B3A">
          <w:rPr>
            <w:rStyle w:val="Hyperlink"/>
            <w:rFonts w:asciiTheme="minorHAnsi" w:hAnsiTheme="minorHAnsi"/>
            <w:sz w:val="24"/>
            <w:szCs w:val="24"/>
          </w:rPr>
          <w:t>, S., &amp; Ryan, A. (2013).</w:t>
        </w:r>
        <w:proofErr w:type="gramEnd"/>
        <w:r w:rsidR="00387DA3" w:rsidRPr="00823B3A">
          <w:rPr>
            <w:rStyle w:val="Hyperlink"/>
            <w:rFonts w:asciiTheme="minorHAnsi" w:hAnsiTheme="minorHAnsi"/>
            <w:sz w:val="24"/>
            <w:szCs w:val="24"/>
          </w:rPr>
          <w:t xml:space="preserve"> Not Welcome Here: Discrimination Towards Women Who Wear the Muslim Headscarf. </w:t>
        </w:r>
        <w:r w:rsidR="00387DA3" w:rsidRPr="00823B3A">
          <w:rPr>
            <w:rStyle w:val="Hyperlink"/>
            <w:rFonts w:asciiTheme="minorHAnsi" w:hAnsiTheme="minorHAnsi"/>
            <w:i/>
            <w:iCs/>
            <w:sz w:val="24"/>
            <w:szCs w:val="24"/>
          </w:rPr>
          <w:t>Human Relations,</w:t>
        </w:r>
        <w:r w:rsidR="00387DA3" w:rsidRPr="00823B3A">
          <w:rPr>
            <w:rStyle w:val="Hyperlink"/>
            <w:rFonts w:asciiTheme="minorHAnsi" w:hAnsiTheme="minorHAnsi"/>
            <w:sz w:val="24"/>
            <w:szCs w:val="24"/>
          </w:rPr>
          <w:t xml:space="preserve"> </w:t>
        </w:r>
        <w:r w:rsidR="00387DA3" w:rsidRPr="00823B3A">
          <w:rPr>
            <w:rStyle w:val="Hyperlink"/>
            <w:rFonts w:asciiTheme="minorHAnsi" w:hAnsiTheme="minorHAnsi"/>
            <w:i/>
            <w:iCs/>
            <w:sz w:val="24"/>
            <w:szCs w:val="24"/>
          </w:rPr>
          <w:t>66</w:t>
        </w:r>
        <w:r w:rsidR="00387DA3" w:rsidRPr="00823B3A">
          <w:rPr>
            <w:rStyle w:val="Hyperlink"/>
            <w:rFonts w:asciiTheme="minorHAnsi" w:hAnsiTheme="minorHAnsi"/>
            <w:sz w:val="24"/>
            <w:szCs w:val="24"/>
          </w:rPr>
          <w:t>(10), 671-698.</w:t>
        </w:r>
      </w:hyperlink>
    </w:p>
    <w:p w:rsidR="00D813E8" w:rsidRPr="005319D3" w:rsidRDefault="0016203F" w:rsidP="00823B3A">
      <w:pPr>
        <w:ind w:left="720"/>
        <w:rPr>
          <w:rFonts w:asciiTheme="minorHAnsi" w:hAnsiTheme="minorHAnsi" w:cstheme="minorHAnsi"/>
          <w:color w:val="000000"/>
          <w:sz w:val="24"/>
          <w:szCs w:val="24"/>
        </w:rPr>
      </w:pPr>
      <w:r w:rsidRPr="005319D3">
        <w:rPr>
          <w:rFonts w:asciiTheme="minorHAnsi" w:hAnsiTheme="minorHAnsi" w:cstheme="minorHAnsi"/>
          <w:color w:val="000000"/>
          <w:sz w:val="24"/>
          <w:szCs w:val="24"/>
        </w:rPr>
        <w:t xml:space="preserve">This article describes a study of the discrimination faced by individuals who wear religious attire when they are applying for employment.  In particular, the author focuses Muslim women wearing the </w:t>
      </w:r>
      <w:proofErr w:type="spellStart"/>
      <w:r w:rsidRPr="005319D3">
        <w:rPr>
          <w:rFonts w:asciiTheme="minorHAnsi" w:hAnsiTheme="minorHAnsi" w:cstheme="minorHAnsi"/>
          <w:color w:val="000000"/>
          <w:sz w:val="24"/>
          <w:szCs w:val="24"/>
        </w:rPr>
        <w:t>Hijabi</w:t>
      </w:r>
      <w:proofErr w:type="spellEnd"/>
      <w:r w:rsidRPr="005319D3">
        <w:rPr>
          <w:rFonts w:asciiTheme="minorHAnsi" w:hAnsiTheme="minorHAnsi" w:cstheme="minorHAnsi"/>
          <w:color w:val="000000"/>
          <w:sz w:val="24"/>
          <w:szCs w:val="24"/>
        </w:rPr>
        <w:t>, comparing the rates of call backs, formal discrimination, interpersonal discrimination, and low expectations demonstrated by hiring entities.</w:t>
      </w:r>
    </w:p>
    <w:p w:rsidR="0016203F" w:rsidRPr="00AE3D2F" w:rsidRDefault="006376E9" w:rsidP="00823B3A">
      <w:pPr>
        <w:pStyle w:val="NoSpacing"/>
        <w:ind w:left="720"/>
        <w:rPr>
          <w:sz w:val="24"/>
          <w:szCs w:val="24"/>
        </w:rPr>
      </w:pPr>
      <w:r w:rsidRPr="006376E9">
        <w:rPr>
          <w:sz w:val="24"/>
          <w:szCs w:val="24"/>
          <w:u w:val="single"/>
        </w:rPr>
        <w:t>Questions to Consider:</w:t>
      </w:r>
    </w:p>
    <w:p w:rsidR="0016203F" w:rsidRPr="00AE3D2F" w:rsidRDefault="0016203F" w:rsidP="00823B3A">
      <w:pPr>
        <w:pStyle w:val="NoSpacing"/>
        <w:numPr>
          <w:ilvl w:val="0"/>
          <w:numId w:val="16"/>
        </w:numPr>
        <w:ind w:left="1440"/>
        <w:rPr>
          <w:sz w:val="24"/>
          <w:szCs w:val="24"/>
        </w:rPr>
      </w:pPr>
      <w:r w:rsidRPr="00AE3D2F">
        <w:rPr>
          <w:sz w:val="24"/>
          <w:szCs w:val="24"/>
        </w:rPr>
        <w:t xml:space="preserve">Was the discrimination faced by Muslim women greater when they wore the </w:t>
      </w:r>
      <w:proofErr w:type="spellStart"/>
      <w:r w:rsidRPr="00AE3D2F">
        <w:rPr>
          <w:sz w:val="24"/>
          <w:szCs w:val="24"/>
        </w:rPr>
        <w:t>Hijabi</w:t>
      </w:r>
      <w:proofErr w:type="spellEnd"/>
      <w:r w:rsidRPr="00AE3D2F">
        <w:rPr>
          <w:sz w:val="24"/>
          <w:szCs w:val="24"/>
        </w:rPr>
        <w:t>?</w:t>
      </w:r>
    </w:p>
    <w:p w:rsidR="0016203F" w:rsidRPr="00AE3D2F" w:rsidRDefault="0016203F" w:rsidP="00823B3A">
      <w:pPr>
        <w:pStyle w:val="NoSpacing"/>
        <w:numPr>
          <w:ilvl w:val="0"/>
          <w:numId w:val="16"/>
        </w:numPr>
        <w:ind w:left="1440"/>
        <w:rPr>
          <w:sz w:val="24"/>
          <w:szCs w:val="24"/>
        </w:rPr>
      </w:pPr>
      <w:r w:rsidRPr="00AE3D2F">
        <w:rPr>
          <w:sz w:val="24"/>
          <w:szCs w:val="24"/>
        </w:rPr>
        <w:t>Are there other types of religious garb that might lead to equal levels of discrimination?  Why?  If not, why not?</w:t>
      </w:r>
    </w:p>
    <w:p w:rsidR="0016203F" w:rsidRPr="00AE3D2F" w:rsidRDefault="00C44FAB" w:rsidP="00823B3A">
      <w:pPr>
        <w:pStyle w:val="NoSpacing"/>
        <w:numPr>
          <w:ilvl w:val="0"/>
          <w:numId w:val="16"/>
        </w:numPr>
        <w:ind w:left="1440"/>
        <w:rPr>
          <w:sz w:val="24"/>
          <w:szCs w:val="24"/>
        </w:rPr>
      </w:pPr>
      <w:r w:rsidRPr="00AE3D2F">
        <w:rPr>
          <w:sz w:val="24"/>
          <w:szCs w:val="24"/>
        </w:rPr>
        <w:t>How is employee diversity related to the kinds of discrimination the Muslim women experienced?</w:t>
      </w:r>
    </w:p>
    <w:p w:rsidR="004D1466" w:rsidRPr="005319D3" w:rsidRDefault="006376E9" w:rsidP="003828EA">
      <w:pPr>
        <w:rPr>
          <w:rFonts w:asciiTheme="minorHAnsi" w:hAnsiTheme="minorHAnsi"/>
          <w:sz w:val="24"/>
          <w:szCs w:val="24"/>
        </w:rPr>
      </w:pPr>
      <w:r>
        <w:rPr>
          <w:rFonts w:asciiTheme="minorHAnsi" w:hAnsiTheme="minorHAnsi" w:cstheme="minorHAnsi"/>
          <w:color w:val="000000"/>
          <w:sz w:val="24"/>
          <w:szCs w:val="24"/>
        </w:rPr>
        <w:pict>
          <v:rect id="_x0000_i1031" style="width:351pt;height:1.5pt" o:hrpct="750" o:hralign="center" o:hrstd="t" o:hr="t" fillcolor="#aca899" stroked="f"/>
        </w:pict>
      </w:r>
    </w:p>
    <w:sectPr w:rsidR="004D1466" w:rsidRPr="005319D3" w:rsidSect="00AE3D2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ndara">
    <w:panose1 w:val="020E0502030303020204"/>
    <w:charset w:val="00"/>
    <w:family w:val="swiss"/>
    <w:pitch w:val="variable"/>
    <w:sig w:usb0="A00002EF" w:usb1="4000A44B" w:usb2="00000000" w:usb3="00000000" w:csb0="0000019F" w:csb1="00000000"/>
  </w:font>
  <w:font w:name="Calibri">
    <w:altName w:val="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C63877"/>
    <w:multiLevelType w:val="hybridMultilevel"/>
    <w:tmpl w:val="49F48F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F5F6AED"/>
    <w:multiLevelType w:val="hybridMultilevel"/>
    <w:tmpl w:val="9FAE77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FA858D8"/>
    <w:multiLevelType w:val="hybridMultilevel"/>
    <w:tmpl w:val="63C4F4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C2149E9"/>
    <w:multiLevelType w:val="hybridMultilevel"/>
    <w:tmpl w:val="71B256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1805CAB"/>
    <w:multiLevelType w:val="hybridMultilevel"/>
    <w:tmpl w:val="C56417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0683AFC"/>
    <w:multiLevelType w:val="hybridMultilevel"/>
    <w:tmpl w:val="1E6A3D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C5667C9"/>
    <w:multiLevelType w:val="hybridMultilevel"/>
    <w:tmpl w:val="BFD4C3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DEA0821"/>
    <w:multiLevelType w:val="hybridMultilevel"/>
    <w:tmpl w:val="F5101F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3804043"/>
    <w:multiLevelType w:val="hybridMultilevel"/>
    <w:tmpl w:val="13562E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C965F84"/>
    <w:multiLevelType w:val="hybridMultilevel"/>
    <w:tmpl w:val="5A6677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E415266"/>
    <w:multiLevelType w:val="hybridMultilevel"/>
    <w:tmpl w:val="6D40AC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AAF42D3"/>
    <w:multiLevelType w:val="hybridMultilevel"/>
    <w:tmpl w:val="6D40AC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07503C0"/>
    <w:multiLevelType w:val="hybridMultilevel"/>
    <w:tmpl w:val="2BDC14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0D5746C"/>
    <w:multiLevelType w:val="hybridMultilevel"/>
    <w:tmpl w:val="38B01D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68C294B"/>
    <w:multiLevelType w:val="hybridMultilevel"/>
    <w:tmpl w:val="6AF480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A40440D"/>
    <w:multiLevelType w:val="hybridMultilevel"/>
    <w:tmpl w:val="6AF480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3"/>
  </w:num>
  <w:num w:numId="3">
    <w:abstractNumId w:val="3"/>
  </w:num>
  <w:num w:numId="4">
    <w:abstractNumId w:val="5"/>
  </w:num>
  <w:num w:numId="5">
    <w:abstractNumId w:val="15"/>
  </w:num>
  <w:num w:numId="6">
    <w:abstractNumId w:val="14"/>
  </w:num>
  <w:num w:numId="7">
    <w:abstractNumId w:val="4"/>
  </w:num>
  <w:num w:numId="8">
    <w:abstractNumId w:val="0"/>
  </w:num>
  <w:num w:numId="9">
    <w:abstractNumId w:val="9"/>
  </w:num>
  <w:num w:numId="10">
    <w:abstractNumId w:val="11"/>
  </w:num>
  <w:num w:numId="11">
    <w:abstractNumId w:val="10"/>
  </w:num>
  <w:num w:numId="12">
    <w:abstractNumId w:val="12"/>
  </w:num>
  <w:num w:numId="13">
    <w:abstractNumId w:val="6"/>
  </w:num>
  <w:num w:numId="14">
    <w:abstractNumId w:val="8"/>
  </w:num>
  <w:num w:numId="15">
    <w:abstractNumId w:val="1"/>
  </w:num>
  <w:num w:numId="1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28EA"/>
    <w:rsid w:val="0001577E"/>
    <w:rsid w:val="00133031"/>
    <w:rsid w:val="0016203F"/>
    <w:rsid w:val="003828EA"/>
    <w:rsid w:val="00387DA3"/>
    <w:rsid w:val="004D1466"/>
    <w:rsid w:val="005319D3"/>
    <w:rsid w:val="005C76AC"/>
    <w:rsid w:val="006376E9"/>
    <w:rsid w:val="00823B3A"/>
    <w:rsid w:val="009B2E65"/>
    <w:rsid w:val="00AE3D2F"/>
    <w:rsid w:val="00C44FAB"/>
    <w:rsid w:val="00D813E8"/>
    <w:rsid w:val="00EF6F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ndara" w:eastAsiaTheme="minorHAnsi" w:hAnsi="Candara" w:cstheme="minorBidi"/>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28EA"/>
    <w:pPr>
      <w:spacing w:after="200" w:line="276" w:lineRule="auto"/>
    </w:pPr>
    <w:rPr>
      <w:rFonts w:ascii="Calibri" w:eastAsia="Calibri" w:hAnsi="Calibri" w:cs="Times New Roman"/>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3828EA"/>
    <w:rPr>
      <w:rFonts w:cs="Times New Roman"/>
      <w:color w:val="0000FF"/>
      <w:u w:val="single"/>
    </w:rPr>
  </w:style>
  <w:style w:type="paragraph" w:styleId="ListParagraph">
    <w:name w:val="List Paragraph"/>
    <w:basedOn w:val="Normal"/>
    <w:uiPriority w:val="34"/>
    <w:qFormat/>
    <w:rsid w:val="003828EA"/>
    <w:pPr>
      <w:ind w:left="720"/>
      <w:contextualSpacing/>
    </w:pPr>
  </w:style>
  <w:style w:type="character" w:styleId="FollowedHyperlink">
    <w:name w:val="FollowedHyperlink"/>
    <w:basedOn w:val="DefaultParagraphFont"/>
    <w:uiPriority w:val="99"/>
    <w:semiHidden/>
    <w:unhideWhenUsed/>
    <w:rsid w:val="003828EA"/>
    <w:rPr>
      <w:color w:val="954F72" w:themeColor="followedHyperlink"/>
      <w:u w:val="single"/>
    </w:rPr>
  </w:style>
  <w:style w:type="character" w:customStyle="1" w:styleId="apple-converted-space">
    <w:name w:val="apple-converted-space"/>
    <w:basedOn w:val="DefaultParagraphFont"/>
    <w:rsid w:val="00133031"/>
  </w:style>
  <w:style w:type="paragraph" w:styleId="NoSpacing">
    <w:name w:val="No Spacing"/>
    <w:uiPriority w:val="1"/>
    <w:qFormat/>
    <w:rsid w:val="00AE3D2F"/>
    <w:pPr>
      <w:spacing w:after="0" w:line="240" w:lineRule="auto"/>
    </w:pPr>
    <w:rPr>
      <w:rFonts w:ascii="Calibri" w:eastAsia="Calibri" w:hAnsi="Calibri" w:cs="Times New Roman"/>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ndara" w:eastAsiaTheme="minorHAnsi" w:hAnsi="Candara" w:cstheme="minorBidi"/>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28EA"/>
    <w:pPr>
      <w:spacing w:after="200" w:line="276" w:lineRule="auto"/>
    </w:pPr>
    <w:rPr>
      <w:rFonts w:ascii="Calibri" w:eastAsia="Calibri" w:hAnsi="Calibri" w:cs="Times New Roman"/>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3828EA"/>
    <w:rPr>
      <w:rFonts w:cs="Times New Roman"/>
      <w:color w:val="0000FF"/>
      <w:u w:val="single"/>
    </w:rPr>
  </w:style>
  <w:style w:type="paragraph" w:styleId="ListParagraph">
    <w:name w:val="List Paragraph"/>
    <w:basedOn w:val="Normal"/>
    <w:uiPriority w:val="34"/>
    <w:qFormat/>
    <w:rsid w:val="003828EA"/>
    <w:pPr>
      <w:ind w:left="720"/>
      <w:contextualSpacing/>
    </w:pPr>
  </w:style>
  <w:style w:type="character" w:styleId="FollowedHyperlink">
    <w:name w:val="FollowedHyperlink"/>
    <w:basedOn w:val="DefaultParagraphFont"/>
    <w:uiPriority w:val="99"/>
    <w:semiHidden/>
    <w:unhideWhenUsed/>
    <w:rsid w:val="003828EA"/>
    <w:rPr>
      <w:color w:val="954F72" w:themeColor="followedHyperlink"/>
      <w:u w:val="single"/>
    </w:rPr>
  </w:style>
  <w:style w:type="character" w:customStyle="1" w:styleId="apple-converted-space">
    <w:name w:val="apple-converted-space"/>
    <w:basedOn w:val="DefaultParagraphFont"/>
    <w:rsid w:val="00133031"/>
  </w:style>
  <w:style w:type="paragraph" w:styleId="NoSpacing">
    <w:name w:val="No Spacing"/>
    <w:uiPriority w:val="1"/>
    <w:qFormat/>
    <w:rsid w:val="00AE3D2F"/>
    <w:pPr>
      <w:spacing w:after="0" w:line="240" w:lineRule="auto"/>
    </w:pPr>
    <w:rPr>
      <w:rFonts w:ascii="Calibri" w:eastAsia="Calibri" w:hAnsi="Calibri" w:cs="Times New Roman"/>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asr.sagepub.com/cgi/reprint/74/5/777?ijkey=XUFiQbyaX2XRA&amp;keytype=ref&amp;siteid=spasr"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jbs.sagepub.com/cgi/reprint/42/1/43?ijkey=hL9j5S8UNrwtQ&amp;keytype=ref&amp;siteid=spjbs" TargetMode="External"/><Relationship Id="rId12" Type="http://schemas.openxmlformats.org/officeDocument/2006/relationships/hyperlink" Target="http://hum.sagepub.com/cgi/reprint/66/5/671?ijkey=EL4lSRq/Gtajc&amp;keytype=ref&amp;siteid=sphu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jbp.sagepub.com/cgi/reprint/29/1/38?ijkey=ibtLD9GRqR4ZU&amp;keytype=ref&amp;siteid=spjbp" TargetMode="External"/><Relationship Id="rId11" Type="http://schemas.openxmlformats.org/officeDocument/2006/relationships/hyperlink" Target="http://gpi.sagepub.com/cgi/reprint/17/2/178?ijkey=QtpHd1t.h3RY6&amp;keytype=ref&amp;siteid=spgpi" TargetMode="External"/><Relationship Id="rId5" Type="http://schemas.openxmlformats.org/officeDocument/2006/relationships/webSettings" Target="webSettings.xml"/><Relationship Id="rId10" Type="http://schemas.openxmlformats.org/officeDocument/2006/relationships/hyperlink" Target="http://raj.sagepub.com/cgi/reprint/1/1/3?ijkey=LXKdmvbBG3rBc&amp;keytype=ref&amp;siteid=spraj" TargetMode="External"/><Relationship Id="rId4" Type="http://schemas.openxmlformats.org/officeDocument/2006/relationships/settings" Target="settings.xml"/><Relationship Id="rId9" Type="http://schemas.openxmlformats.org/officeDocument/2006/relationships/hyperlink" Target="http://ctx.sagepub.com/cgi/reprint/8/2/28?ijkey=I8f82RaKXU0vk&amp;keytype=ref&amp;siteid=spctx"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79</TotalTime>
  <Pages>3</Pages>
  <Words>1097</Words>
  <Characters>6254</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Sage Publications</Company>
  <LinksUpToDate>false</LinksUpToDate>
  <CharactersWithSpaces>7337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Marta Henriksen</dc:creator>
  <cp:lastModifiedBy>SageUser</cp:lastModifiedBy>
  <cp:revision>9</cp:revision>
  <dcterms:created xsi:type="dcterms:W3CDTF">2014-12-03T17:46:00Z</dcterms:created>
  <dcterms:modified xsi:type="dcterms:W3CDTF">2015-01-09T16:08:00Z</dcterms:modified>
</cp:coreProperties>
</file>