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BE" w:rsidRDefault="00820FBE" w:rsidP="00820FBE">
      <w:pPr>
        <w:jc w:val="center"/>
        <w:rPr>
          <w:rFonts w:ascii="Verdana" w:hAnsi="Verdana"/>
        </w:rPr>
      </w:pPr>
      <w:r>
        <w:rPr>
          <w:rFonts w:ascii="Verdana" w:hAnsi="Verdana"/>
        </w:rPr>
        <w:t>Chapter 1</w:t>
      </w:r>
      <w:r w:rsidR="005952F9">
        <w:rPr>
          <w:rFonts w:ascii="Verdana" w:hAnsi="Verdana"/>
        </w:rPr>
        <w:t>5</w:t>
      </w:r>
    </w:p>
    <w:p w:rsidR="00437D02" w:rsidRDefault="00437D02" w:rsidP="00820FBE">
      <w:pPr>
        <w:pStyle w:val="ListParagraph"/>
        <w:numPr>
          <w:ilvl w:val="0"/>
          <w:numId w:val="1"/>
        </w:numPr>
        <w:rPr>
          <w:rFonts w:ascii="Verdana" w:hAnsi="Verdana"/>
        </w:rPr>
      </w:pPr>
      <w:r>
        <w:rPr>
          <w:rFonts w:ascii="Verdana" w:hAnsi="Verdana"/>
        </w:rPr>
        <w:t xml:space="preserve">Explore the website at </w:t>
      </w:r>
      <w:hyperlink r:id="rId7" w:history="1">
        <w:r w:rsidRPr="006D4E4C">
          <w:rPr>
            <w:rStyle w:val="Hyperlink"/>
            <w:rFonts w:ascii="Verdana" w:hAnsi="Verdana"/>
          </w:rPr>
          <w:t>www.surfaquarium.com</w:t>
        </w:r>
      </w:hyperlink>
      <w:r>
        <w:rPr>
          <w:rFonts w:ascii="Verdana" w:hAnsi="Verdana"/>
        </w:rPr>
        <w:t xml:space="preserve"> to gain information about the theory of multiple intelligences.  Carefully study the descriptions of each of the multiple intelligence domains, each of the nine intelligences, and the Immersion page of the site.  Then, complete the following activities.</w:t>
      </w:r>
    </w:p>
    <w:p w:rsidR="00437D02" w:rsidRDefault="00437D02" w:rsidP="00437D02">
      <w:pPr>
        <w:pStyle w:val="ListParagraph"/>
        <w:numPr>
          <w:ilvl w:val="0"/>
          <w:numId w:val="3"/>
        </w:numPr>
        <w:rPr>
          <w:rFonts w:ascii="Verdana" w:hAnsi="Verdana"/>
        </w:rPr>
      </w:pPr>
      <w:r>
        <w:rPr>
          <w:rFonts w:ascii="Verdana" w:hAnsi="Verdana"/>
        </w:rPr>
        <w:t xml:space="preserve">Complete the Multiple Intelligence Survey and score it according to the instructions provided at the end of the survey.  </w:t>
      </w:r>
    </w:p>
    <w:p w:rsidR="00437D02" w:rsidRDefault="00437D02" w:rsidP="00437D02">
      <w:pPr>
        <w:pStyle w:val="ListParagraph"/>
        <w:numPr>
          <w:ilvl w:val="0"/>
          <w:numId w:val="3"/>
        </w:numPr>
        <w:rPr>
          <w:rFonts w:ascii="Verdana" w:hAnsi="Verdana"/>
        </w:rPr>
      </w:pPr>
      <w:r>
        <w:rPr>
          <w:rFonts w:ascii="Verdana" w:hAnsi="Verdana"/>
        </w:rPr>
        <w:t>In a brief essay, describe what you learned about yourself and your preferred intelligence.  How would such information about your students assist you in differentiating instruction f</w:t>
      </w:r>
      <w:r w:rsidR="00A42322">
        <w:rPr>
          <w:rFonts w:ascii="Verdana" w:hAnsi="Verdana"/>
        </w:rPr>
        <w:t>or gifted and talented students?</w:t>
      </w:r>
    </w:p>
    <w:p w:rsidR="00820FBE" w:rsidRPr="000B2117" w:rsidRDefault="00437D02" w:rsidP="00437D02">
      <w:pPr>
        <w:pStyle w:val="ListParagraph"/>
        <w:ind w:left="1800"/>
        <w:rPr>
          <w:rFonts w:ascii="Verdana" w:hAnsi="Verdana"/>
        </w:rPr>
      </w:pPr>
      <w:r>
        <w:rPr>
          <w:rFonts w:ascii="Verdana" w:hAnsi="Verdana"/>
        </w:rPr>
        <w:t xml:space="preserve"> </w:t>
      </w:r>
    </w:p>
    <w:p w:rsidR="00820FBE" w:rsidRDefault="00820FBE" w:rsidP="00820FBE">
      <w:pPr>
        <w:pStyle w:val="ListParagraph"/>
        <w:rPr>
          <w:rFonts w:ascii="Verdana" w:hAnsi="Verdana"/>
          <w:u w:val="single"/>
        </w:rPr>
      </w:pPr>
      <w:r>
        <w:rPr>
          <w:rFonts w:ascii="Verdana" w:hAnsi="Verdana"/>
          <w:u w:val="single"/>
        </w:rPr>
        <w:t>Chapter 1</w:t>
      </w:r>
      <w:r w:rsidR="005952F9">
        <w:rPr>
          <w:rFonts w:ascii="Verdana" w:hAnsi="Verdana"/>
          <w:u w:val="single"/>
        </w:rPr>
        <w:t>5</w:t>
      </w:r>
      <w:r>
        <w:rPr>
          <w:rFonts w:ascii="Verdana" w:hAnsi="Verdana"/>
          <w:u w:val="single"/>
        </w:rPr>
        <w:t xml:space="preserve"> Objective</w:t>
      </w:r>
    </w:p>
    <w:p w:rsidR="00820FBE" w:rsidRDefault="00820FBE" w:rsidP="00820FBE">
      <w:pPr>
        <w:pStyle w:val="ListParagraph"/>
        <w:rPr>
          <w:rFonts w:ascii="Verdana" w:hAnsi="Verdana"/>
        </w:rPr>
      </w:pPr>
      <w:r>
        <w:rPr>
          <w:rFonts w:ascii="Verdana" w:hAnsi="Verdana"/>
        </w:rPr>
        <w:tab/>
      </w:r>
      <w:r w:rsidR="00437D02">
        <w:rPr>
          <w:rFonts w:ascii="Verdana" w:hAnsi="Verdana"/>
        </w:rPr>
        <w:t>Summarize the various instructional strategies used by educators to teach pupils who are gifted and talented.</w:t>
      </w:r>
    </w:p>
    <w:p w:rsidR="00437D02" w:rsidRDefault="00437D02" w:rsidP="00820FBE">
      <w:pPr>
        <w:pStyle w:val="ListParagraph"/>
        <w:rPr>
          <w:rFonts w:ascii="Verdana" w:hAnsi="Verdana"/>
        </w:rPr>
      </w:pPr>
      <w:r>
        <w:rPr>
          <w:rFonts w:ascii="Verdana" w:hAnsi="Verdana"/>
        </w:rPr>
        <w:tab/>
        <w:t>Describe educational opportunities for young children and adolescents who are gifted and talented.</w:t>
      </w:r>
    </w:p>
    <w:p w:rsidR="00437D02" w:rsidRDefault="00437D02" w:rsidP="00820FBE">
      <w:pPr>
        <w:pStyle w:val="ListParagraph"/>
        <w:rPr>
          <w:rFonts w:ascii="Verdana" w:hAnsi="Verdana"/>
        </w:rPr>
      </w:pPr>
    </w:p>
    <w:p w:rsidR="00437D02" w:rsidRDefault="00820FBE" w:rsidP="00437D02">
      <w:pPr>
        <w:pStyle w:val="ListParagraph"/>
        <w:rPr>
          <w:rFonts w:ascii="Verdana" w:hAnsi="Verdana"/>
        </w:rPr>
      </w:pPr>
      <w:r>
        <w:rPr>
          <w:rFonts w:ascii="Verdana" w:hAnsi="Verdana"/>
          <w:u w:val="single"/>
        </w:rPr>
        <w:t>CEC Standard(s)</w:t>
      </w:r>
      <w:r>
        <w:rPr>
          <w:rFonts w:ascii="Verdana" w:hAnsi="Verdana"/>
        </w:rPr>
        <w:t xml:space="preserve">: </w:t>
      </w:r>
      <w:r w:rsidR="00437D02">
        <w:rPr>
          <w:rFonts w:ascii="Verdana" w:hAnsi="Verdana"/>
        </w:rPr>
        <w:t>Standard 1: Learner Development and Individual Learning Differences</w:t>
      </w:r>
    </w:p>
    <w:p w:rsidR="00437D02" w:rsidRDefault="00A42322" w:rsidP="00437D02">
      <w:pPr>
        <w:pStyle w:val="ListParagraph"/>
        <w:rPr>
          <w:rFonts w:ascii="Verdana" w:hAnsi="Verdana"/>
        </w:rPr>
      </w:pPr>
      <w:r>
        <w:rPr>
          <w:rFonts w:ascii="Verdana" w:hAnsi="Verdana"/>
        </w:rPr>
        <w:tab/>
        <w:t xml:space="preserve">Standard 1.0  </w:t>
      </w:r>
      <w:r w:rsidR="00437D02">
        <w:rPr>
          <w:rFonts w:ascii="Verdana" w:hAnsi="Verdana"/>
        </w:rPr>
        <w:t>Beginning special education professionals understand how exceptionalities may interact with development and learning and use this knowledge to provide meaningful and challenging learning experiences for individuals with exceptionalities.</w:t>
      </w:r>
    </w:p>
    <w:p w:rsidR="00820FBE" w:rsidRDefault="00820FBE" w:rsidP="00820FBE">
      <w:pPr>
        <w:pStyle w:val="ListParagraph"/>
        <w:rPr>
          <w:rFonts w:ascii="Verdana" w:hAnsi="Verdana"/>
        </w:rPr>
      </w:pPr>
    </w:p>
    <w:p w:rsidR="004B629B" w:rsidRDefault="004B629B" w:rsidP="004B629B">
      <w:pPr>
        <w:pStyle w:val="ListParagraph"/>
        <w:rPr>
          <w:rFonts w:ascii="Verdana" w:hAnsi="Verdana"/>
          <w:u w:val="single"/>
        </w:rPr>
      </w:pPr>
      <w:r>
        <w:rPr>
          <w:rFonts w:ascii="Verdana" w:hAnsi="Verdana"/>
          <w:u w:val="single"/>
        </w:rPr>
        <w:t>PRAXIS II: Education of Exceptional Students: Core Content Knowledge</w:t>
      </w:r>
    </w:p>
    <w:p w:rsidR="00057F0E" w:rsidRDefault="00437D02" w:rsidP="00057F0E">
      <w:pPr>
        <w:pStyle w:val="ListParagraph"/>
        <w:numPr>
          <w:ilvl w:val="0"/>
          <w:numId w:val="4"/>
        </w:numPr>
        <w:rPr>
          <w:rFonts w:ascii="Verdana" w:hAnsi="Verdana"/>
        </w:rPr>
      </w:pPr>
      <w:r>
        <w:rPr>
          <w:rFonts w:ascii="Verdana" w:hAnsi="Verdana"/>
        </w:rPr>
        <w:t>Topic III: Delivery of Services to Students with Disabilities</w:t>
      </w:r>
    </w:p>
    <w:p w:rsidR="00057F0E" w:rsidRDefault="00057F0E" w:rsidP="00057F0E">
      <w:pPr>
        <w:pStyle w:val="ListParagraph"/>
        <w:ind w:left="2160"/>
        <w:rPr>
          <w:rFonts w:ascii="Verdana" w:hAnsi="Verdana"/>
        </w:rPr>
      </w:pPr>
      <w:r>
        <w:rPr>
          <w:rFonts w:ascii="Verdana" w:hAnsi="Verdana"/>
        </w:rPr>
        <w:t xml:space="preserve">B. </w:t>
      </w:r>
      <w:r w:rsidR="00437D02" w:rsidRPr="00057F0E">
        <w:rPr>
          <w:rFonts w:ascii="Verdana" w:hAnsi="Verdana"/>
        </w:rPr>
        <w:t>Curriculum and instruction and their implementation across the continuum of educational placements</w:t>
      </w:r>
    </w:p>
    <w:p w:rsidR="00057F0E" w:rsidRDefault="00057F0E" w:rsidP="00057F0E">
      <w:pPr>
        <w:pStyle w:val="ListParagraph"/>
        <w:ind w:left="2160"/>
        <w:rPr>
          <w:rFonts w:ascii="Verdana" w:hAnsi="Verdana"/>
        </w:rPr>
      </w:pPr>
      <w:r>
        <w:rPr>
          <w:rFonts w:ascii="Verdana" w:hAnsi="Verdana"/>
        </w:rPr>
        <w:tab/>
        <w:t xml:space="preserve">2. </w:t>
      </w:r>
      <w:r w:rsidR="00437D02">
        <w:rPr>
          <w:rFonts w:ascii="Verdana" w:hAnsi="Verdana"/>
        </w:rPr>
        <w:t>Instructional development and implementation</w:t>
      </w:r>
    </w:p>
    <w:p w:rsidR="00437D02" w:rsidRDefault="00057F0E" w:rsidP="00057F0E">
      <w:pPr>
        <w:pStyle w:val="ListParagraph"/>
        <w:ind w:left="2160"/>
        <w:rPr>
          <w:rFonts w:ascii="Verdana" w:hAnsi="Verdana"/>
        </w:rPr>
      </w:pPr>
      <w:r>
        <w:rPr>
          <w:rFonts w:ascii="Verdana" w:hAnsi="Verdana"/>
        </w:rPr>
        <w:tab/>
        <w:t xml:space="preserve">3. </w:t>
      </w:r>
      <w:r w:rsidR="00437D02">
        <w:rPr>
          <w:rFonts w:ascii="Verdana" w:hAnsi="Verdana"/>
        </w:rPr>
        <w:t>Teaching strategies and methods</w:t>
      </w:r>
    </w:p>
    <w:p w:rsidR="00437D02" w:rsidRPr="0045324C" w:rsidRDefault="00437D02" w:rsidP="00A42322">
      <w:pPr>
        <w:pStyle w:val="ListParagraph"/>
        <w:ind w:left="3600"/>
        <w:rPr>
          <w:rFonts w:ascii="Verdana" w:hAnsi="Verdana"/>
        </w:rPr>
      </w:pPr>
      <w:bookmarkStart w:id="0" w:name="_GoBack"/>
      <w:bookmarkEnd w:id="0"/>
    </w:p>
    <w:p w:rsidR="00820FBE" w:rsidRPr="002E279B" w:rsidRDefault="00836DE9" w:rsidP="00820FBE">
      <w:pPr>
        <w:pStyle w:val="ListParagraph"/>
        <w:numPr>
          <w:ilvl w:val="0"/>
          <w:numId w:val="1"/>
        </w:numPr>
        <w:rPr>
          <w:rFonts w:ascii="Verdana" w:hAnsi="Verdana"/>
          <w:u w:val="single"/>
        </w:rPr>
      </w:pPr>
      <w:r>
        <w:rPr>
          <w:rFonts w:ascii="Verdana" w:hAnsi="Verdana"/>
        </w:rPr>
        <w:t xml:space="preserve">Read the following articles about the “twice-exceptional child.” Write a brief summary of each article which includes a discussion of the perspective from which the article was written.  Identify </w:t>
      </w:r>
      <w:r w:rsidR="002E279B">
        <w:rPr>
          <w:rFonts w:ascii="Verdana" w:hAnsi="Verdana"/>
        </w:rPr>
        <w:t>the defining characteristics of the “twice-exceptional child” and provide a list of the recommended strategies or instructional methods included in your reading.</w:t>
      </w:r>
    </w:p>
    <w:p w:rsidR="002E279B" w:rsidRDefault="002E279B" w:rsidP="002E279B">
      <w:pPr>
        <w:rPr>
          <w:rFonts w:ascii="Verdana" w:hAnsi="Verdana"/>
        </w:rPr>
      </w:pPr>
      <w:r>
        <w:rPr>
          <w:rFonts w:ascii="Verdana" w:hAnsi="Verdana"/>
        </w:rPr>
        <w:tab/>
        <w:t xml:space="preserve">“Ensuring Gifted Children with Disabilities Receive Appropriate Services: Call </w:t>
      </w:r>
      <w:r>
        <w:rPr>
          <w:rFonts w:ascii="Verdana" w:hAnsi="Verdana"/>
        </w:rPr>
        <w:tab/>
        <w:t>for Comprehensive Assessment”</w:t>
      </w:r>
    </w:p>
    <w:p w:rsidR="002E279B" w:rsidRPr="002E279B" w:rsidRDefault="002E279B" w:rsidP="002E279B">
      <w:pPr>
        <w:rPr>
          <w:rFonts w:ascii="Verdana" w:hAnsi="Verdana"/>
        </w:rPr>
      </w:pPr>
      <w:r>
        <w:rPr>
          <w:rFonts w:ascii="Verdana" w:hAnsi="Verdana"/>
        </w:rPr>
        <w:tab/>
      </w:r>
      <w:hyperlink r:id="rId8" w:history="1">
        <w:r w:rsidRPr="002E279B">
          <w:rPr>
            <w:rStyle w:val="Hyperlink"/>
            <w:rFonts w:ascii="Verdana" w:hAnsi="Verdana"/>
          </w:rPr>
          <w:t>http://www.nagc.org/index2.aspx?id=10834</w:t>
        </w:r>
      </w:hyperlink>
    </w:p>
    <w:p w:rsidR="002E279B" w:rsidRDefault="002E279B" w:rsidP="002E279B">
      <w:pPr>
        <w:rPr>
          <w:rFonts w:ascii="Verdana" w:hAnsi="Verdana"/>
        </w:rPr>
      </w:pPr>
      <w:r>
        <w:rPr>
          <w:rFonts w:ascii="Verdana" w:hAnsi="Verdana"/>
        </w:rPr>
        <w:lastRenderedPageBreak/>
        <w:tab/>
        <w:t>“Studies Shed Light on ‘Twice Exceptional’ Students”</w:t>
      </w:r>
    </w:p>
    <w:p w:rsidR="002E279B" w:rsidRDefault="002E279B" w:rsidP="002E279B">
      <w:pPr>
        <w:ind w:left="720" w:hanging="720"/>
        <w:rPr>
          <w:rFonts w:ascii="Verdana" w:hAnsi="Verdana"/>
        </w:rPr>
      </w:pPr>
      <w:r>
        <w:rPr>
          <w:rFonts w:ascii="Verdana" w:hAnsi="Verdana"/>
        </w:rPr>
        <w:tab/>
      </w:r>
      <w:hyperlink r:id="rId9" w:history="1">
        <w:r w:rsidRPr="002E279B">
          <w:rPr>
            <w:rStyle w:val="Hyperlink"/>
            <w:rFonts w:ascii="Verdana" w:hAnsi="Verdana"/>
          </w:rPr>
          <w:t>http://www.edweek.org/ew/articles/2012/05/08/30gifted.h31.html?tkn=PVWFDRZv62bLKAdNRPRfGOfkavzwUOCHZ0Zw&amp;cmp=ENL-EU-NEWS1</w:t>
        </w:r>
      </w:hyperlink>
    </w:p>
    <w:p w:rsidR="002E279B" w:rsidRDefault="002E279B" w:rsidP="002E279B">
      <w:pPr>
        <w:ind w:left="720" w:hanging="720"/>
        <w:rPr>
          <w:rFonts w:ascii="Verdana" w:hAnsi="Verdana"/>
        </w:rPr>
      </w:pPr>
      <w:r>
        <w:rPr>
          <w:rFonts w:ascii="Verdana" w:hAnsi="Verdana"/>
        </w:rPr>
        <w:tab/>
        <w:t>“Gifted but Learning Disabled: A Puzzling Paradox”</w:t>
      </w:r>
    </w:p>
    <w:p w:rsidR="002E279B" w:rsidRPr="002E279B" w:rsidRDefault="002E279B" w:rsidP="002E279B">
      <w:pPr>
        <w:ind w:left="720" w:hanging="720"/>
        <w:rPr>
          <w:rFonts w:ascii="Verdana" w:hAnsi="Verdana"/>
        </w:rPr>
      </w:pPr>
      <w:r>
        <w:rPr>
          <w:rFonts w:ascii="Verdana" w:hAnsi="Verdana"/>
        </w:rPr>
        <w:tab/>
      </w:r>
      <w:hyperlink r:id="rId10" w:history="1">
        <w:r w:rsidRPr="006D4E4C">
          <w:rPr>
            <w:rStyle w:val="Hyperlink"/>
            <w:rFonts w:ascii="Verdana" w:hAnsi="Verdana"/>
          </w:rPr>
          <w:t>http://www.wrightslaw.com/info/2e.gifted.le.eric.pdf</w:t>
        </w:r>
      </w:hyperlink>
      <w:r>
        <w:rPr>
          <w:rFonts w:ascii="Verdana" w:hAnsi="Verdana"/>
        </w:rPr>
        <w:t xml:space="preserve"> </w:t>
      </w:r>
    </w:p>
    <w:p w:rsidR="00820FBE" w:rsidRDefault="00820FBE" w:rsidP="00820FBE">
      <w:pPr>
        <w:pStyle w:val="ListParagraph"/>
        <w:rPr>
          <w:rFonts w:ascii="Verdana" w:hAnsi="Verdana"/>
          <w:u w:val="single"/>
        </w:rPr>
      </w:pPr>
      <w:r>
        <w:rPr>
          <w:rFonts w:ascii="Verdana" w:hAnsi="Verdana"/>
          <w:u w:val="single"/>
        </w:rPr>
        <w:t>Chapter 1</w:t>
      </w:r>
      <w:r w:rsidR="005952F9">
        <w:rPr>
          <w:rFonts w:ascii="Verdana" w:hAnsi="Verdana"/>
          <w:u w:val="single"/>
        </w:rPr>
        <w:t>5</w:t>
      </w:r>
      <w:r>
        <w:rPr>
          <w:rFonts w:ascii="Verdana" w:hAnsi="Verdana"/>
          <w:u w:val="single"/>
        </w:rPr>
        <w:t xml:space="preserve"> Objective</w:t>
      </w:r>
    </w:p>
    <w:p w:rsidR="00820FBE" w:rsidRDefault="00820FBE" w:rsidP="00820FBE">
      <w:pPr>
        <w:pStyle w:val="ListParagraph"/>
        <w:rPr>
          <w:rFonts w:ascii="Verdana" w:hAnsi="Verdana"/>
        </w:rPr>
      </w:pPr>
      <w:r>
        <w:rPr>
          <w:rFonts w:ascii="Verdana" w:hAnsi="Verdana"/>
        </w:rPr>
        <w:tab/>
      </w:r>
      <w:r w:rsidR="002E279B">
        <w:rPr>
          <w:rFonts w:ascii="Verdana" w:hAnsi="Verdana"/>
        </w:rPr>
        <w:t>Define twice-gifted.</w:t>
      </w:r>
    </w:p>
    <w:p w:rsidR="002E279B" w:rsidRDefault="002E279B" w:rsidP="00820FBE">
      <w:pPr>
        <w:pStyle w:val="ListParagraph"/>
        <w:rPr>
          <w:rFonts w:ascii="Verdana" w:hAnsi="Verdana"/>
        </w:rPr>
      </w:pPr>
      <w:r>
        <w:rPr>
          <w:rFonts w:ascii="Verdana" w:hAnsi="Verdana"/>
        </w:rPr>
        <w:tab/>
        <w:t>Describe educational opportunities for individuals who are twice-gifted.</w:t>
      </w:r>
    </w:p>
    <w:p w:rsidR="002E279B" w:rsidRDefault="002E279B" w:rsidP="00820FBE">
      <w:pPr>
        <w:pStyle w:val="ListParagraph"/>
        <w:rPr>
          <w:rFonts w:ascii="Verdana" w:hAnsi="Verdana"/>
        </w:rPr>
      </w:pPr>
    </w:p>
    <w:p w:rsidR="00820FBE" w:rsidRDefault="00820FBE" w:rsidP="00820FBE">
      <w:pPr>
        <w:pStyle w:val="ListParagraph"/>
        <w:rPr>
          <w:rFonts w:ascii="Verdana" w:hAnsi="Verdana"/>
        </w:rPr>
      </w:pPr>
      <w:r>
        <w:rPr>
          <w:rFonts w:ascii="Verdana" w:hAnsi="Verdana"/>
          <w:u w:val="single"/>
        </w:rPr>
        <w:t>CEC Standard(s)</w:t>
      </w:r>
      <w:r w:rsidR="002E279B">
        <w:rPr>
          <w:rFonts w:ascii="Verdana" w:hAnsi="Verdana"/>
        </w:rPr>
        <w:t>: Standard 1: Learner Development and Individual Learning Differences</w:t>
      </w:r>
    </w:p>
    <w:p w:rsidR="002E279B" w:rsidRDefault="00A42322" w:rsidP="00820FBE">
      <w:pPr>
        <w:pStyle w:val="ListParagraph"/>
        <w:rPr>
          <w:rFonts w:ascii="Verdana" w:hAnsi="Verdana"/>
        </w:rPr>
      </w:pPr>
      <w:r>
        <w:rPr>
          <w:rFonts w:ascii="Verdana" w:hAnsi="Verdana"/>
        </w:rPr>
        <w:tab/>
        <w:t>Standard 1.0</w:t>
      </w:r>
      <w:r w:rsidR="002E279B">
        <w:rPr>
          <w:rFonts w:ascii="Verdana" w:hAnsi="Verdana"/>
        </w:rPr>
        <w:t xml:space="preserve"> </w:t>
      </w:r>
      <w:r>
        <w:rPr>
          <w:rFonts w:ascii="Verdana" w:hAnsi="Verdana"/>
        </w:rPr>
        <w:t xml:space="preserve"> </w:t>
      </w:r>
      <w:r w:rsidR="002E279B">
        <w:rPr>
          <w:rFonts w:ascii="Verdana" w:hAnsi="Verdana"/>
        </w:rPr>
        <w:t>Beginning special education professionals understand how exceptionalities may interact with development and learning and use this knowledge to provide meaningful and challenging learning experiences for individuals with exceptionalities.</w:t>
      </w:r>
    </w:p>
    <w:p w:rsidR="00820FBE" w:rsidRDefault="00820FBE" w:rsidP="00820FBE">
      <w:pPr>
        <w:pStyle w:val="ListParagraph"/>
        <w:rPr>
          <w:rFonts w:ascii="Verdana" w:hAnsi="Verdana"/>
        </w:rPr>
      </w:pPr>
    </w:p>
    <w:p w:rsidR="004B629B" w:rsidRDefault="004B629B" w:rsidP="004B629B">
      <w:pPr>
        <w:pStyle w:val="ListParagraph"/>
        <w:rPr>
          <w:rFonts w:ascii="Verdana" w:hAnsi="Verdana"/>
          <w:u w:val="single"/>
        </w:rPr>
      </w:pPr>
      <w:r>
        <w:rPr>
          <w:rFonts w:ascii="Verdana" w:hAnsi="Verdana"/>
          <w:u w:val="single"/>
        </w:rPr>
        <w:t>PRAXIS II: Education of Exceptional Students: Core Content Knowledge</w:t>
      </w:r>
    </w:p>
    <w:p w:rsidR="00057F0E" w:rsidRDefault="002E279B" w:rsidP="00057F0E">
      <w:pPr>
        <w:pStyle w:val="ListParagraph"/>
        <w:numPr>
          <w:ilvl w:val="0"/>
          <w:numId w:val="2"/>
        </w:numPr>
        <w:rPr>
          <w:rFonts w:ascii="Verdana" w:hAnsi="Verdana"/>
        </w:rPr>
      </w:pPr>
      <w:r>
        <w:rPr>
          <w:rFonts w:ascii="Verdana" w:hAnsi="Verdana"/>
        </w:rPr>
        <w:t>Topic I: Understanding Exceptionalities</w:t>
      </w:r>
    </w:p>
    <w:p w:rsidR="00057F0E" w:rsidRDefault="00057F0E" w:rsidP="00057F0E">
      <w:pPr>
        <w:pStyle w:val="ListParagraph"/>
        <w:ind w:left="2160"/>
        <w:rPr>
          <w:rFonts w:ascii="Verdana" w:hAnsi="Verdana"/>
        </w:rPr>
      </w:pPr>
      <w:r>
        <w:rPr>
          <w:rFonts w:ascii="Verdana" w:hAnsi="Verdana"/>
        </w:rPr>
        <w:t xml:space="preserve">C. </w:t>
      </w:r>
      <w:r w:rsidR="002E279B" w:rsidRPr="00057F0E">
        <w:rPr>
          <w:rFonts w:ascii="Verdana" w:hAnsi="Verdana"/>
        </w:rPr>
        <w:t>Basic concepts in special education</w:t>
      </w:r>
    </w:p>
    <w:p w:rsidR="00437D02" w:rsidRDefault="00057F0E" w:rsidP="00057F0E">
      <w:pPr>
        <w:pStyle w:val="ListParagraph"/>
        <w:ind w:left="2160"/>
        <w:rPr>
          <w:rFonts w:ascii="Verdana" w:hAnsi="Verdana"/>
        </w:rPr>
      </w:pPr>
      <w:r>
        <w:rPr>
          <w:rFonts w:ascii="Verdana" w:hAnsi="Verdana"/>
        </w:rPr>
        <w:t xml:space="preserve">D. </w:t>
      </w:r>
      <w:r w:rsidR="00437D02">
        <w:rPr>
          <w:rFonts w:ascii="Verdana" w:hAnsi="Verdana"/>
        </w:rPr>
        <w:t>The influence of (an) exceptional condition(s) throughout an individual’s life span</w:t>
      </w:r>
    </w:p>
    <w:p w:rsidR="000B3B7D" w:rsidRDefault="000B3B7D" w:rsidP="00820FBE">
      <w:pPr>
        <w:pStyle w:val="ListParagraph"/>
        <w:rPr>
          <w:rFonts w:ascii="Verdana" w:hAnsi="Verdana"/>
        </w:rPr>
      </w:pPr>
    </w:p>
    <w:p w:rsidR="000B3B7D" w:rsidRDefault="000B3B7D" w:rsidP="00820FBE">
      <w:pPr>
        <w:pStyle w:val="ListParagraph"/>
        <w:rPr>
          <w:rFonts w:ascii="Verdana" w:hAnsi="Verdana"/>
        </w:rPr>
      </w:pPr>
    </w:p>
    <w:p w:rsidR="000B3B7D" w:rsidRDefault="000B3B7D" w:rsidP="00820FBE">
      <w:pPr>
        <w:pStyle w:val="ListParagraph"/>
        <w:rPr>
          <w:rFonts w:ascii="Verdana" w:hAnsi="Verdana"/>
        </w:rPr>
      </w:pPr>
    </w:p>
    <w:p w:rsidR="000B3B7D" w:rsidRDefault="000B3B7D" w:rsidP="00820FBE">
      <w:pPr>
        <w:pStyle w:val="ListParagraph"/>
        <w:rPr>
          <w:rFonts w:ascii="Verdana" w:hAnsi="Verdana"/>
        </w:rPr>
      </w:pPr>
    </w:p>
    <w:p w:rsidR="00820FBE" w:rsidRDefault="00820FBE" w:rsidP="00820FBE">
      <w:pPr>
        <w:pStyle w:val="ListParagraph"/>
        <w:rPr>
          <w:rFonts w:ascii="Verdana" w:hAnsi="Verdana"/>
        </w:rPr>
      </w:pPr>
      <w:r>
        <w:rPr>
          <w:rFonts w:ascii="Verdana" w:hAnsi="Verdana"/>
        </w:rPr>
        <w:tab/>
      </w:r>
    </w:p>
    <w:p w:rsidR="00820FBE" w:rsidRPr="0045324C" w:rsidRDefault="00820FBE" w:rsidP="00820FBE">
      <w:pPr>
        <w:rPr>
          <w:rFonts w:ascii="Verdana" w:hAnsi="Verdana"/>
        </w:rPr>
      </w:pPr>
    </w:p>
    <w:p w:rsidR="002F3C82" w:rsidRDefault="00057F0E"/>
    <w:sectPr w:rsidR="002F3C82" w:rsidSect="00F652D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322" w:rsidRDefault="00A42322" w:rsidP="00A42322">
      <w:pPr>
        <w:spacing w:after="0" w:line="240" w:lineRule="auto"/>
      </w:pPr>
      <w:r>
        <w:separator/>
      </w:r>
    </w:p>
  </w:endnote>
  <w:endnote w:type="continuationSeparator" w:id="0">
    <w:p w:rsidR="00A42322" w:rsidRDefault="00A42322" w:rsidP="00A42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322" w:rsidRDefault="00A42322" w:rsidP="00A42322">
      <w:pPr>
        <w:spacing w:after="0" w:line="240" w:lineRule="auto"/>
      </w:pPr>
      <w:r>
        <w:separator/>
      </w:r>
    </w:p>
  </w:footnote>
  <w:footnote w:type="continuationSeparator" w:id="0">
    <w:p w:rsidR="00A42322" w:rsidRDefault="00A42322" w:rsidP="00A42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22" w:rsidRDefault="00A42322" w:rsidP="00A42322">
    <w:pPr>
      <w:pStyle w:val="Header"/>
    </w:pPr>
    <w:r>
      <w:t>Gargiulo, Special Education in Contemporary Society 5th Edition</w:t>
    </w:r>
  </w:p>
  <w:p w:rsidR="00A42322" w:rsidRDefault="00A42322">
    <w:pPr>
      <w:pStyle w:val="Header"/>
    </w:pPr>
    <w:r>
      <w:t>Instructor Resource</w:t>
    </w:r>
  </w:p>
  <w:p w:rsidR="00A42322" w:rsidRDefault="00A42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780"/>
    <w:multiLevelType w:val="hybridMultilevel"/>
    <w:tmpl w:val="D3F4F27A"/>
    <w:lvl w:ilvl="0" w:tplc="04090001">
      <w:start w:val="1"/>
      <w:numFmt w:val="bullet"/>
      <w:lvlText w:val=""/>
      <w:lvlJc w:val="left"/>
      <w:pPr>
        <w:ind w:left="2160" w:hanging="360"/>
      </w:pPr>
      <w:rPr>
        <w:rFonts w:ascii="Symbol" w:hAnsi="Symbol" w:hint="default"/>
      </w:rPr>
    </w:lvl>
    <w:lvl w:ilvl="1" w:tplc="7B166A9E">
      <w:start w:val="1"/>
      <w:numFmt w:val="upperLetter"/>
      <w:lvlText w:val="%2."/>
      <w:lvlJc w:val="left"/>
      <w:pPr>
        <w:ind w:left="2880" w:hanging="360"/>
      </w:pPr>
      <w:rPr>
        <w:rFonts w:ascii="Verdana" w:eastAsiaTheme="minorHAnsi" w:hAnsi="Verdana"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2A4DEC"/>
    <w:multiLevelType w:val="hybridMultilevel"/>
    <w:tmpl w:val="1B70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901B9"/>
    <w:multiLevelType w:val="hybridMultilevel"/>
    <w:tmpl w:val="30D4AA10"/>
    <w:lvl w:ilvl="0" w:tplc="CB0AB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6C6A16"/>
    <w:multiLevelType w:val="hybridMultilevel"/>
    <w:tmpl w:val="266C7B40"/>
    <w:lvl w:ilvl="0" w:tplc="04090001">
      <w:start w:val="1"/>
      <w:numFmt w:val="bullet"/>
      <w:lvlText w:val=""/>
      <w:lvlJc w:val="left"/>
      <w:pPr>
        <w:ind w:left="2160" w:hanging="360"/>
      </w:pPr>
      <w:rPr>
        <w:rFonts w:ascii="Symbol" w:hAnsi="Symbol" w:hint="default"/>
      </w:rPr>
    </w:lvl>
    <w:lvl w:ilvl="1" w:tplc="7B166A9E">
      <w:start w:val="1"/>
      <w:numFmt w:val="upperLetter"/>
      <w:lvlText w:val="%2."/>
      <w:lvlJc w:val="left"/>
      <w:pPr>
        <w:ind w:left="2880" w:hanging="360"/>
      </w:pPr>
      <w:rPr>
        <w:rFonts w:ascii="Verdana" w:eastAsiaTheme="minorHAnsi" w:hAnsi="Verdana" w:cstheme="minorBidi" w:hint="default"/>
      </w:rPr>
    </w:lvl>
    <w:lvl w:ilvl="2" w:tplc="0409000F">
      <w:start w:val="1"/>
      <w:numFmt w:val="decimal"/>
      <w:lvlText w:val="%3."/>
      <w:lvlJc w:val="lef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0FBE"/>
    <w:rsid w:val="00057F0E"/>
    <w:rsid w:val="000B3B7D"/>
    <w:rsid w:val="001933B4"/>
    <w:rsid w:val="00296C12"/>
    <w:rsid w:val="002E279B"/>
    <w:rsid w:val="00437D02"/>
    <w:rsid w:val="004B629B"/>
    <w:rsid w:val="005952F9"/>
    <w:rsid w:val="00687F0C"/>
    <w:rsid w:val="00820FBE"/>
    <w:rsid w:val="00836DE9"/>
    <w:rsid w:val="00A42322"/>
    <w:rsid w:val="00AA02A7"/>
    <w:rsid w:val="00B85214"/>
    <w:rsid w:val="00D01D5D"/>
    <w:rsid w:val="00F65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BE"/>
    <w:pPr>
      <w:ind w:left="720"/>
      <w:contextualSpacing/>
    </w:pPr>
  </w:style>
  <w:style w:type="character" w:styleId="Hyperlink">
    <w:name w:val="Hyperlink"/>
    <w:basedOn w:val="DefaultParagraphFont"/>
    <w:uiPriority w:val="99"/>
    <w:unhideWhenUsed/>
    <w:rsid w:val="000B3B7D"/>
    <w:rPr>
      <w:color w:val="0000FF" w:themeColor="hyperlink"/>
      <w:u w:val="single"/>
    </w:rPr>
  </w:style>
  <w:style w:type="paragraph" w:styleId="Header">
    <w:name w:val="header"/>
    <w:basedOn w:val="Normal"/>
    <w:link w:val="HeaderChar"/>
    <w:uiPriority w:val="99"/>
    <w:unhideWhenUsed/>
    <w:rsid w:val="00A42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322"/>
  </w:style>
  <w:style w:type="paragraph" w:styleId="Footer">
    <w:name w:val="footer"/>
    <w:basedOn w:val="Normal"/>
    <w:link w:val="FooterChar"/>
    <w:uiPriority w:val="99"/>
    <w:semiHidden/>
    <w:unhideWhenUsed/>
    <w:rsid w:val="00A423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322"/>
  </w:style>
  <w:style w:type="paragraph" w:styleId="BalloonText">
    <w:name w:val="Balloon Text"/>
    <w:basedOn w:val="Normal"/>
    <w:link w:val="BalloonTextChar"/>
    <w:uiPriority w:val="99"/>
    <w:semiHidden/>
    <w:unhideWhenUsed/>
    <w:rsid w:val="00A42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BE"/>
    <w:pPr>
      <w:ind w:left="720"/>
      <w:contextualSpacing/>
    </w:pPr>
  </w:style>
  <w:style w:type="character" w:styleId="Hyperlink">
    <w:name w:val="Hyperlink"/>
    <w:basedOn w:val="DefaultParagraphFont"/>
    <w:uiPriority w:val="99"/>
    <w:unhideWhenUsed/>
    <w:rsid w:val="000B3B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5573490">
      <w:bodyDiv w:val="1"/>
      <w:marLeft w:val="0"/>
      <w:marRight w:val="0"/>
      <w:marTop w:val="0"/>
      <w:marBottom w:val="0"/>
      <w:divBdr>
        <w:top w:val="none" w:sz="0" w:space="0" w:color="auto"/>
        <w:left w:val="none" w:sz="0" w:space="0" w:color="auto"/>
        <w:bottom w:val="none" w:sz="0" w:space="0" w:color="auto"/>
        <w:right w:val="none" w:sz="0" w:space="0" w:color="auto"/>
      </w:divBdr>
    </w:div>
    <w:div w:id="1418213182">
      <w:bodyDiv w:val="1"/>
      <w:marLeft w:val="0"/>
      <w:marRight w:val="0"/>
      <w:marTop w:val="0"/>
      <w:marBottom w:val="0"/>
      <w:divBdr>
        <w:top w:val="none" w:sz="0" w:space="0" w:color="auto"/>
        <w:left w:val="none" w:sz="0" w:space="0" w:color="auto"/>
        <w:bottom w:val="none" w:sz="0" w:space="0" w:color="auto"/>
        <w:right w:val="none" w:sz="0" w:space="0" w:color="auto"/>
      </w:divBdr>
    </w:div>
    <w:div w:id="18706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c.org/index2.aspx?id=108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faquariu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rightslaw.com/info/2e.gifted.le.eric.pdf" TargetMode="External"/><Relationship Id="rId4" Type="http://schemas.openxmlformats.org/officeDocument/2006/relationships/webSettings" Target="webSettings.xml"/><Relationship Id="rId9" Type="http://schemas.openxmlformats.org/officeDocument/2006/relationships/hyperlink" Target="http://www.edweek.org/ew/articles/2012/05/08/30gifted.h31.html?tkn=PVWFDRZv62bLKAdNRPRfGOfkavzwUOCHZ0Zw&amp;cmp=ENL-EU-NEWS1"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NGBDLQ</dc:creator>
  <cp:lastModifiedBy>Julie Griffin</cp:lastModifiedBy>
  <cp:revision>3</cp:revision>
  <dcterms:created xsi:type="dcterms:W3CDTF">2014-06-02T23:51:00Z</dcterms:created>
  <dcterms:modified xsi:type="dcterms:W3CDTF">2014-06-09T17:42:00Z</dcterms:modified>
</cp:coreProperties>
</file>